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1050A0E5" w:rsidR="007268CA" w:rsidRPr="002B1B26" w:rsidRDefault="00744A03" w:rsidP="00F97AAC">
            <w:pPr>
              <w:pStyle w:val="Informal1"/>
              <w:spacing w:before="0" w:after="0"/>
              <w:rPr>
                <w:rFonts w:ascii="Arial" w:hAnsi="Arial" w:cs="Arial"/>
                <w:b/>
                <w:bCs/>
              </w:rPr>
            </w:pPr>
            <w:r>
              <w:rPr>
                <w:rFonts w:ascii="Arial" w:hAnsi="Arial" w:cs="Arial"/>
                <w:b/>
                <w:bCs/>
              </w:rPr>
              <w:t>Tuesday</w:t>
            </w:r>
            <w:r w:rsidR="00A03C46">
              <w:rPr>
                <w:rFonts w:ascii="Arial" w:hAnsi="Arial" w:cs="Arial"/>
                <w:b/>
                <w:bCs/>
              </w:rPr>
              <w:t xml:space="preserve">, </w:t>
            </w:r>
            <w:r w:rsidR="00ED6F77">
              <w:rPr>
                <w:rFonts w:ascii="Arial" w:hAnsi="Arial" w:cs="Arial"/>
                <w:b/>
                <w:bCs/>
              </w:rPr>
              <w:t>March 17</w:t>
            </w:r>
            <w:r w:rsidR="00A03C46">
              <w:rPr>
                <w:rFonts w:ascii="Arial" w:hAnsi="Arial" w:cs="Arial"/>
                <w:b/>
                <w:bCs/>
              </w:rPr>
              <w:t>, 2026</w:t>
            </w:r>
          </w:p>
          <w:p w14:paraId="03E73BAA" w14:textId="46C03F4E" w:rsidR="00F97AAC" w:rsidRPr="002B1B26" w:rsidRDefault="004539D7" w:rsidP="00F97AAC">
            <w:pPr>
              <w:pStyle w:val="Informal1"/>
              <w:spacing w:before="0" w:after="0"/>
              <w:rPr>
                <w:rFonts w:ascii="Arial" w:hAnsi="Arial" w:cs="Arial"/>
                <w:b/>
                <w:bCs/>
              </w:rPr>
            </w:pPr>
            <w:r>
              <w:rPr>
                <w:rFonts w:ascii="Arial" w:hAnsi="Arial" w:cs="Arial"/>
                <w:b/>
                <w:bCs/>
              </w:rPr>
              <w:t>1</w:t>
            </w:r>
            <w:r w:rsidR="00D1696E">
              <w:rPr>
                <w:rFonts w:ascii="Arial" w:hAnsi="Arial" w:cs="Arial"/>
                <w:b/>
                <w:bCs/>
              </w:rPr>
              <w:t>:00</w:t>
            </w:r>
            <w:r>
              <w:rPr>
                <w:rFonts w:ascii="Arial" w:hAnsi="Arial" w:cs="Arial"/>
                <w:b/>
                <w:bCs/>
              </w:rPr>
              <w:t xml:space="preserve"> – 2:</w:t>
            </w:r>
            <w:r w:rsidR="00D1696E">
              <w:rPr>
                <w:rFonts w:ascii="Arial" w:hAnsi="Arial" w:cs="Arial"/>
                <w:b/>
                <w:bCs/>
              </w:rPr>
              <w:t>30</w:t>
            </w:r>
            <w:r>
              <w:rPr>
                <w:rFonts w:ascii="Arial" w:hAnsi="Arial" w:cs="Arial"/>
                <w:b/>
                <w:bCs/>
              </w:rPr>
              <w:t xml:space="preserve">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4BE914F2" w14:textId="6A3460CA" w:rsidR="00B34E8A" w:rsidRPr="007D1040" w:rsidRDefault="007D1040" w:rsidP="00D1696E">
            <w:pPr>
              <w:pStyle w:val="xmsonormal"/>
              <w:shd w:val="clear" w:color="auto" w:fill="FFFFFF"/>
              <w:spacing w:before="0" w:beforeAutospacing="0" w:after="0" w:afterAutospacing="0"/>
              <w:rPr>
                <w:rFonts w:ascii="Arial" w:hAnsi="Arial" w:cs="Arial"/>
              </w:rPr>
            </w:pPr>
            <w:hyperlink r:id="rId7" w:history="1">
              <w:r w:rsidRPr="007D1040">
                <w:rPr>
                  <w:rStyle w:val="Hyperlink"/>
                  <w:rFonts w:ascii="Arial" w:hAnsi="Arial" w:cs="Arial"/>
                </w:rPr>
                <w:t>View Meeting Recording</w:t>
              </w:r>
            </w:hyperlink>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2A4080FE" w14:textId="07A1506A" w:rsidR="00C42001"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5442313F" w:rsidR="00B6223D" w:rsidRPr="002B1B26" w:rsidRDefault="00580476"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650C081" w14:textId="71FC2084" w:rsidR="00D1696E"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0B427453" w14:textId="38B6AECD" w:rsidR="004D0EDC" w:rsidRPr="004D0EDC" w:rsidRDefault="004D0EDC" w:rsidP="004D0EDC">
      <w:pPr>
        <w:pStyle w:val="Informal2"/>
        <w:tabs>
          <w:tab w:val="right" w:pos="2160"/>
        </w:tabs>
        <w:ind w:left="2880"/>
        <w:rPr>
          <w:b w:val="0"/>
          <w:bCs w:val="0"/>
          <w:color w:val="FF0000"/>
        </w:rPr>
      </w:pPr>
      <w:r w:rsidRPr="004D0EDC">
        <w:rPr>
          <w:b w:val="0"/>
          <w:bCs w:val="0"/>
          <w:color w:val="FF0000"/>
        </w:rPr>
        <w:t xml:space="preserve">The meeting opened with Commissioner Abramson calling for any corrections to the minutes from the prior meeting. No members suggested edits. </w:t>
      </w:r>
      <w:r>
        <w:rPr>
          <w:b w:val="0"/>
          <w:bCs w:val="0"/>
          <w:color w:val="FF0000"/>
        </w:rPr>
        <w:t xml:space="preserve">Commissioner </w:t>
      </w:r>
      <w:r w:rsidRPr="004D0EDC">
        <w:rPr>
          <w:b w:val="0"/>
          <w:bCs w:val="0"/>
          <w:color w:val="FF0000"/>
        </w:rPr>
        <w:t xml:space="preserve">Walmer moved to approve the minutes, and Theresa Groff seconded the motion. With no opposition, the minutes were formally adopted. </w:t>
      </w:r>
    </w:p>
    <w:p w14:paraId="46B73F8B" w14:textId="0F755797" w:rsidR="004D0EDC" w:rsidRDefault="004D0EDC" w:rsidP="00B6223D">
      <w:pPr>
        <w:pStyle w:val="Informal2"/>
        <w:tabs>
          <w:tab w:val="right" w:pos="2160"/>
        </w:tabs>
        <w:rPr>
          <w:b w:val="0"/>
          <w:bCs w:val="0"/>
          <w:i/>
          <w:iCs/>
          <w:color w:val="4F6228" w:themeColor="accent3" w:themeShade="80"/>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F733B0D" w14:textId="0D7A4C71" w:rsidR="00D1696E" w:rsidRPr="00D1696E" w:rsidRDefault="00580476" w:rsidP="00D1696E">
      <w:pPr>
        <w:pStyle w:val="Informal2"/>
        <w:tabs>
          <w:tab w:val="right" w:pos="2160"/>
        </w:tabs>
        <w:ind w:left="2880" w:hanging="2880"/>
      </w:pPr>
      <w:r>
        <w:t>1:05 pm</w:t>
      </w:r>
      <w:r w:rsidR="00B6223D" w:rsidRPr="002B1B26">
        <w:tab/>
      </w:r>
      <w:r w:rsidR="00B6223D" w:rsidRPr="002B1B26">
        <w:tab/>
      </w:r>
      <w:r w:rsidR="00D1696E" w:rsidRPr="00D1696E">
        <w:t xml:space="preserve">Discuss </w:t>
      </w:r>
      <w:r w:rsidR="00C42001">
        <w:t xml:space="preserve">Subcommittee </w:t>
      </w:r>
      <w:r w:rsidR="00D1696E" w:rsidRPr="00D1696E">
        <w:t>Vision, Purpose, and Problem Statement</w:t>
      </w:r>
      <w:r w:rsidR="00C42001">
        <w:t xml:space="preserve"> on Transfer</w:t>
      </w:r>
    </w:p>
    <w:p w14:paraId="5051BB5F" w14:textId="70785D37" w:rsidR="00D1696E" w:rsidRDefault="003523E6" w:rsidP="003523E6">
      <w:pPr>
        <w:pStyle w:val="Informal2"/>
        <w:tabs>
          <w:tab w:val="right" w:pos="2160"/>
        </w:tabs>
        <w:ind w:left="2880" w:hanging="2880"/>
        <w:rPr>
          <w:b w:val="0"/>
          <w:bCs w:val="0"/>
          <w:i/>
          <w:iCs/>
          <w:color w:val="4F6228" w:themeColor="accent3" w:themeShade="80"/>
        </w:rPr>
      </w:pPr>
      <w:r>
        <w:tab/>
      </w:r>
      <w:r>
        <w:tab/>
      </w:r>
      <w:r w:rsidR="00D1696E">
        <w:rPr>
          <w:b w:val="0"/>
          <w:bCs w:val="0"/>
          <w:i/>
          <w:iCs/>
          <w:color w:val="4F6228" w:themeColor="accent3" w:themeShade="80"/>
        </w:rPr>
        <w:t>Berrick Abramson, Subcommittee Chair</w:t>
      </w:r>
    </w:p>
    <w:p w14:paraId="21722C27" w14:textId="77777777" w:rsidR="00D7659F" w:rsidRDefault="00D90C5D" w:rsidP="00D7659F">
      <w:pPr>
        <w:pStyle w:val="Informal2"/>
        <w:tabs>
          <w:tab w:val="right" w:pos="2160"/>
        </w:tabs>
        <w:ind w:left="2880" w:hanging="2880"/>
        <w:rPr>
          <w:b w:val="0"/>
          <w:bCs w:val="0"/>
          <w:color w:val="FF0000"/>
        </w:rPr>
      </w:pPr>
      <w:r>
        <w:rPr>
          <w:b w:val="0"/>
          <w:bCs w:val="0"/>
          <w:i/>
          <w:iCs/>
          <w:color w:val="4F6228" w:themeColor="accent3" w:themeShade="80"/>
        </w:rPr>
        <w:tab/>
      </w:r>
      <w:r>
        <w:rPr>
          <w:b w:val="0"/>
          <w:bCs w:val="0"/>
          <w:i/>
          <w:iCs/>
          <w:color w:val="4F6228" w:themeColor="accent3" w:themeShade="80"/>
        </w:rPr>
        <w:tab/>
      </w:r>
      <w:r w:rsidR="00D7659F" w:rsidRPr="00D7659F">
        <w:rPr>
          <w:b w:val="0"/>
          <w:bCs w:val="0"/>
          <w:color w:val="FF0000"/>
        </w:rPr>
        <w:t>During the visioning discussion, members emphasized the need to reconceptualize transfer as a broader system of learning and credit mobility, rather than simply course</w:t>
      </w:r>
      <w:r w:rsidR="00D7659F" w:rsidRPr="00D7659F">
        <w:rPr>
          <w:b w:val="0"/>
          <w:bCs w:val="0"/>
          <w:color w:val="FF0000"/>
        </w:rPr>
        <w:noBreakHyphen/>
        <w:t>to</w:t>
      </w:r>
      <w:r w:rsidR="00D7659F" w:rsidRPr="00D7659F">
        <w:rPr>
          <w:b w:val="0"/>
          <w:bCs w:val="0"/>
          <w:color w:val="FF0000"/>
        </w:rPr>
        <w:noBreakHyphen/>
        <w:t>course transfer. Participants agreed that Colorado’s future framework must support seamless movement across academic, CTE, work</w:t>
      </w:r>
      <w:r w:rsidR="00D7659F" w:rsidRPr="00D7659F">
        <w:rPr>
          <w:b w:val="0"/>
          <w:bCs w:val="0"/>
          <w:color w:val="FF0000"/>
        </w:rPr>
        <w:noBreakHyphen/>
        <w:t>based, military, and industry</w:t>
      </w:r>
      <w:r w:rsidR="00D7659F" w:rsidRPr="00D7659F">
        <w:rPr>
          <w:b w:val="0"/>
          <w:bCs w:val="0"/>
          <w:color w:val="FF0000"/>
        </w:rPr>
        <w:noBreakHyphen/>
        <w:t>recognized learning, beginning as early as high school and extending through adult upskilling. Several members stressed that the current structure places too much burden on students to track and translate disparate learning experiences, highlighting the need for transparent, technology</w:t>
      </w:r>
      <w:r w:rsidR="00D7659F" w:rsidRPr="00D7659F">
        <w:rPr>
          <w:b w:val="0"/>
          <w:bCs w:val="0"/>
          <w:color w:val="FF0000"/>
        </w:rPr>
        <w:noBreakHyphen/>
        <w:t xml:space="preserve">enabled learner records that center student ownership of their achievements. Workforce partners </w:t>
      </w:r>
      <w:r w:rsidR="00D7659F" w:rsidRPr="00D7659F">
        <w:rPr>
          <w:b w:val="0"/>
          <w:bCs w:val="0"/>
          <w:color w:val="FF0000"/>
        </w:rPr>
        <w:lastRenderedPageBreak/>
        <w:t xml:space="preserve">underscored the importance of earlier alignment between education and industry, ensuring that students see relevance in their coursework and can stack technical skills with general education competencies. </w:t>
      </w:r>
    </w:p>
    <w:p w14:paraId="1636AD7E" w14:textId="77777777" w:rsidR="00D7659F" w:rsidRDefault="00D7659F" w:rsidP="00D7659F">
      <w:pPr>
        <w:pStyle w:val="Informal2"/>
        <w:tabs>
          <w:tab w:val="right" w:pos="2160"/>
        </w:tabs>
        <w:ind w:left="2880" w:hanging="2880"/>
        <w:rPr>
          <w:b w:val="0"/>
          <w:bCs w:val="0"/>
          <w:color w:val="FF0000"/>
        </w:rPr>
      </w:pPr>
    </w:p>
    <w:p w14:paraId="45A4E45C" w14:textId="06576A4E" w:rsidR="00D7659F" w:rsidRDefault="00D7659F" w:rsidP="00D7659F">
      <w:pPr>
        <w:pStyle w:val="Informal2"/>
        <w:tabs>
          <w:tab w:val="right" w:pos="2160"/>
        </w:tabs>
        <w:ind w:left="2880" w:hanging="2880"/>
        <w:rPr>
          <w:b w:val="0"/>
          <w:bCs w:val="0"/>
          <w:color w:val="FF0000"/>
        </w:rPr>
      </w:pPr>
      <w:r>
        <w:rPr>
          <w:b w:val="0"/>
          <w:bCs w:val="0"/>
          <w:color w:val="FF0000"/>
        </w:rPr>
        <w:tab/>
      </w:r>
      <w:r>
        <w:rPr>
          <w:b w:val="0"/>
          <w:bCs w:val="0"/>
          <w:color w:val="FF0000"/>
        </w:rPr>
        <w:tab/>
      </w:r>
      <w:r w:rsidRPr="00D7659F">
        <w:rPr>
          <w:b w:val="0"/>
          <w:bCs w:val="0"/>
          <w:color w:val="FF0000"/>
        </w:rPr>
        <w:t>Higher education representatives urged avoiding a false divide between liberal arts and CTE, noting that critical thinking, communication, and problem</w:t>
      </w:r>
      <w:r w:rsidRPr="00D7659F">
        <w:rPr>
          <w:b w:val="0"/>
          <w:bCs w:val="0"/>
          <w:color w:val="FF0000"/>
        </w:rPr>
        <w:noBreakHyphen/>
        <w:t>solving skills remain essential across all pathways, and that students should not be locked into narrow tracks early on. Leaders from CMC and other institutions pointed to successful models of meta</w:t>
      </w:r>
      <w:r w:rsidRPr="00D7659F">
        <w:rPr>
          <w:b w:val="0"/>
          <w:bCs w:val="0"/>
          <w:color w:val="FF0000"/>
        </w:rPr>
        <w:noBreakHyphen/>
        <w:t xml:space="preserve">majors, stackable credentials, and applied bachelor’s degrees as evidence that coherent, flexible pathways are achievable within existing structures. Participants also discussed systemic barriers such as inconsistent accreditation rules, funding models that disincentivize transfer, and wide variation in PLA documentation. Throughout the conversation, members agreed that the </w:t>
      </w:r>
      <w:proofErr w:type="gramStart"/>
      <w:r w:rsidRPr="00D7659F">
        <w:rPr>
          <w:b w:val="0"/>
          <w:bCs w:val="0"/>
          <w:color w:val="FF0000"/>
        </w:rPr>
        <w:t>ultimate goal</w:t>
      </w:r>
      <w:proofErr w:type="gramEnd"/>
      <w:r w:rsidRPr="00D7659F">
        <w:rPr>
          <w:b w:val="0"/>
          <w:bCs w:val="0"/>
          <w:color w:val="FF0000"/>
        </w:rPr>
        <w:t xml:space="preserve"> is a coherent, learner</w:t>
      </w:r>
      <w:r w:rsidRPr="00D7659F">
        <w:rPr>
          <w:b w:val="0"/>
          <w:bCs w:val="0"/>
          <w:color w:val="FF0000"/>
        </w:rPr>
        <w:noBreakHyphen/>
        <w:t>centered ecosystem in which prior learning is validated consistently, mobility is not constrained by institutional silos, and students can navigate multiple on</w:t>
      </w:r>
      <w:r w:rsidRPr="00D7659F">
        <w:rPr>
          <w:b w:val="0"/>
          <w:bCs w:val="0"/>
          <w:color w:val="FF0000"/>
        </w:rPr>
        <w:noBreakHyphen/>
        <w:t>ramps and off</w:t>
      </w:r>
      <w:r w:rsidRPr="00D7659F">
        <w:rPr>
          <w:b w:val="0"/>
          <w:bCs w:val="0"/>
          <w:color w:val="FF0000"/>
        </w:rPr>
        <w:noBreakHyphen/>
        <w:t>ramps toward meaningful credentials and careers.</w:t>
      </w:r>
    </w:p>
    <w:p w14:paraId="2E27D102" w14:textId="77777777" w:rsidR="00D7659F" w:rsidRDefault="00D7659F" w:rsidP="00D7659F">
      <w:pPr>
        <w:pStyle w:val="Informal2"/>
        <w:tabs>
          <w:tab w:val="right" w:pos="2160"/>
        </w:tabs>
        <w:ind w:left="2880" w:hanging="2880"/>
        <w:rPr>
          <w:b w:val="0"/>
          <w:bCs w:val="0"/>
          <w:color w:val="FF0000"/>
        </w:rPr>
      </w:pPr>
    </w:p>
    <w:p w14:paraId="625AA70E" w14:textId="0F07415E" w:rsidR="00D7659F" w:rsidRPr="00D7659F" w:rsidRDefault="00D7659F" w:rsidP="00D7659F">
      <w:pPr>
        <w:pStyle w:val="Informal2"/>
        <w:tabs>
          <w:tab w:val="right" w:pos="2160"/>
        </w:tabs>
        <w:ind w:left="2880" w:hanging="2880"/>
        <w:rPr>
          <w:b w:val="0"/>
          <w:bCs w:val="0"/>
          <w:color w:val="FF0000"/>
        </w:rPr>
      </w:pPr>
      <w:r>
        <w:rPr>
          <w:b w:val="0"/>
          <w:bCs w:val="0"/>
          <w:color w:val="FF0000"/>
        </w:rPr>
        <w:tab/>
      </w:r>
      <w:r>
        <w:rPr>
          <w:b w:val="0"/>
          <w:bCs w:val="0"/>
          <w:color w:val="FF0000"/>
        </w:rPr>
        <w:tab/>
      </w:r>
      <w:r w:rsidRPr="00D7659F">
        <w:rPr>
          <w:b w:val="0"/>
          <w:bCs w:val="0"/>
          <w:color w:val="FF0000"/>
        </w:rPr>
        <w:t>Commissioner Abramson summarized the conversation and encouraged members to reflect before the next meeting on:</w:t>
      </w:r>
    </w:p>
    <w:p w14:paraId="4AC7A6FB" w14:textId="0083DAF1" w:rsidR="00D7659F" w:rsidRPr="00D7659F" w:rsidRDefault="00D7659F" w:rsidP="00D7659F">
      <w:pPr>
        <w:pStyle w:val="Informal2"/>
        <w:numPr>
          <w:ilvl w:val="0"/>
          <w:numId w:val="11"/>
        </w:numPr>
        <w:tabs>
          <w:tab w:val="right" w:pos="2160"/>
        </w:tabs>
        <w:rPr>
          <w:b w:val="0"/>
          <w:bCs w:val="0"/>
          <w:color w:val="FF0000"/>
        </w:rPr>
      </w:pPr>
      <w:r w:rsidRPr="00D7659F">
        <w:rPr>
          <w:b w:val="0"/>
          <w:bCs w:val="0"/>
          <w:color w:val="FF0000"/>
        </w:rPr>
        <w:t>Foundational pillars of a future credit mobility system (e.g., flexibility, transparency, financial neutrality, student ownership, employer relevance).</w:t>
      </w:r>
    </w:p>
    <w:p w14:paraId="685DD31B" w14:textId="24B3D2CC" w:rsidR="00D7659F" w:rsidRPr="00D7659F" w:rsidRDefault="00D7659F" w:rsidP="00D7659F">
      <w:pPr>
        <w:pStyle w:val="Informal2"/>
        <w:numPr>
          <w:ilvl w:val="0"/>
          <w:numId w:val="11"/>
        </w:numPr>
        <w:tabs>
          <w:tab w:val="right" w:pos="2160"/>
        </w:tabs>
        <w:rPr>
          <w:b w:val="0"/>
          <w:bCs w:val="0"/>
          <w:color w:val="FF0000"/>
        </w:rPr>
      </w:pPr>
      <w:r w:rsidRPr="00D7659F">
        <w:rPr>
          <w:b w:val="0"/>
          <w:bCs w:val="0"/>
          <w:color w:val="FF0000"/>
        </w:rPr>
        <w:t>Barriers such as funding models, institutional culture, accreditation, technology limitations, and bureaucratic processes.</w:t>
      </w:r>
    </w:p>
    <w:p w14:paraId="47A37F21" w14:textId="77777777" w:rsidR="00D7659F" w:rsidRDefault="00D7659F" w:rsidP="00D7659F">
      <w:pPr>
        <w:pStyle w:val="Informal2"/>
        <w:numPr>
          <w:ilvl w:val="0"/>
          <w:numId w:val="11"/>
        </w:numPr>
        <w:tabs>
          <w:tab w:val="right" w:pos="2160"/>
        </w:tabs>
        <w:rPr>
          <w:b w:val="0"/>
          <w:bCs w:val="0"/>
          <w:color w:val="FF0000"/>
        </w:rPr>
      </w:pPr>
      <w:r w:rsidRPr="00D7659F">
        <w:rPr>
          <w:b w:val="0"/>
          <w:bCs w:val="0"/>
          <w:color w:val="FF0000"/>
        </w:rPr>
        <w:t>Opportunities for a bold statewide redesign focused on learning applicability rather than narrow transfer acceptance.</w:t>
      </w:r>
      <w:r w:rsidRPr="00D7659F">
        <w:rPr>
          <w:b w:val="0"/>
          <w:bCs w:val="0"/>
          <w:color w:val="FF0000"/>
        </w:rPr>
        <w:br/>
      </w:r>
    </w:p>
    <w:p w14:paraId="7274067C" w14:textId="133A88EC" w:rsidR="00D7659F" w:rsidRPr="00D7659F" w:rsidRDefault="00D7659F" w:rsidP="00D7659F">
      <w:pPr>
        <w:pStyle w:val="Informal2"/>
        <w:tabs>
          <w:tab w:val="right" w:pos="2160"/>
        </w:tabs>
        <w:ind w:left="2880"/>
        <w:rPr>
          <w:b w:val="0"/>
          <w:bCs w:val="0"/>
          <w:color w:val="FF0000"/>
        </w:rPr>
      </w:pPr>
      <w:r w:rsidRPr="00D7659F">
        <w:rPr>
          <w:b w:val="0"/>
          <w:bCs w:val="0"/>
          <w:color w:val="FF0000"/>
        </w:rPr>
        <w:t>Future sessions will move from visioning to barrier analysis and ultimately to policy and structural recommendations.</w:t>
      </w:r>
    </w:p>
    <w:p w14:paraId="76ED2969" w14:textId="61D9832C" w:rsidR="00D90C5D" w:rsidRPr="00D90C5D" w:rsidRDefault="00D90C5D" w:rsidP="003523E6">
      <w:pPr>
        <w:pStyle w:val="Informal2"/>
        <w:tabs>
          <w:tab w:val="right" w:pos="2160"/>
        </w:tabs>
        <w:ind w:left="2880" w:hanging="2880"/>
        <w:rPr>
          <w:b w:val="0"/>
          <w:bCs w:val="0"/>
          <w:color w:val="4F6228" w:themeColor="accent3" w:themeShade="80"/>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7F144047" w14:textId="1A157469" w:rsidR="00A92EEA" w:rsidRDefault="00580476" w:rsidP="003523E6">
      <w:pPr>
        <w:pStyle w:val="Informal2"/>
        <w:tabs>
          <w:tab w:val="right" w:pos="2160"/>
        </w:tabs>
        <w:ind w:left="2880" w:hanging="2880"/>
      </w:pPr>
      <w:bookmarkStart w:id="2" w:name="_Hlk93390637"/>
      <w:r>
        <w:lastRenderedPageBreak/>
        <w:t>1:35 pm</w:t>
      </w:r>
      <w:r w:rsidR="00A92EEA">
        <w:tab/>
      </w:r>
      <w:r w:rsidR="00A92EEA">
        <w:tab/>
      </w:r>
      <w:r w:rsidR="00D1696E">
        <w:t xml:space="preserve">Transfer </w:t>
      </w:r>
      <w:r w:rsidR="00C42001">
        <w:t xml:space="preserve">Tech </w:t>
      </w:r>
      <w:r w:rsidR="00D1696E">
        <w:t>Solution</w:t>
      </w:r>
      <w:r w:rsidR="00416297">
        <w:t>s</w:t>
      </w:r>
      <w:r w:rsidR="00D1696E">
        <w:t xml:space="preserve"> Demo</w:t>
      </w:r>
    </w:p>
    <w:p w14:paraId="66F14E09" w14:textId="549CEB29" w:rsidR="00D1696E" w:rsidRDefault="00A92EEA" w:rsidP="00A92EEA">
      <w:pPr>
        <w:pStyle w:val="Informal2"/>
        <w:tabs>
          <w:tab w:val="right" w:pos="2160"/>
        </w:tabs>
        <w:ind w:left="2880" w:hanging="2880"/>
        <w:rPr>
          <w:b w:val="0"/>
          <w:bCs w:val="0"/>
          <w:i/>
          <w:iCs/>
          <w:color w:val="4F6228" w:themeColor="accent3" w:themeShade="80"/>
        </w:rPr>
      </w:pPr>
      <w:r>
        <w:tab/>
      </w:r>
      <w:r>
        <w:tab/>
      </w:r>
      <w:r w:rsidR="00D1696E">
        <w:rPr>
          <w:b w:val="0"/>
          <w:bCs w:val="0"/>
          <w:i/>
          <w:iCs/>
          <w:color w:val="4F6228" w:themeColor="accent3" w:themeShade="80"/>
        </w:rPr>
        <w:t>Berrick Abramson, Subcommittee Chair</w:t>
      </w:r>
    </w:p>
    <w:p w14:paraId="15B2013F" w14:textId="77777777" w:rsidR="00D7659F" w:rsidRPr="00D7659F" w:rsidRDefault="00D7659F" w:rsidP="00D7659F">
      <w:pPr>
        <w:pStyle w:val="Informal2"/>
        <w:tabs>
          <w:tab w:val="right" w:pos="2160"/>
        </w:tabs>
        <w:ind w:left="2880" w:hanging="2880"/>
        <w:rPr>
          <w:b w:val="0"/>
          <w:bCs w:val="0"/>
          <w:color w:val="FF0000"/>
        </w:rPr>
      </w:pPr>
      <w:r>
        <w:rPr>
          <w:b w:val="0"/>
          <w:bCs w:val="0"/>
          <w:i/>
          <w:iCs/>
          <w:color w:val="4F6228" w:themeColor="accent3" w:themeShade="80"/>
        </w:rPr>
        <w:tab/>
      </w:r>
      <w:r>
        <w:rPr>
          <w:b w:val="0"/>
          <w:bCs w:val="0"/>
          <w:i/>
          <w:iCs/>
          <w:color w:val="4F6228" w:themeColor="accent3" w:themeShade="80"/>
        </w:rPr>
        <w:tab/>
      </w:r>
      <w:r w:rsidRPr="00D7659F">
        <w:rPr>
          <w:b w:val="0"/>
          <w:bCs w:val="0"/>
          <w:color w:val="FF0000"/>
        </w:rPr>
        <w:t xml:space="preserve">Commissioner Abramson noted a planned demonstration of </w:t>
      </w:r>
      <w:proofErr w:type="gramStart"/>
      <w:r w:rsidRPr="00D7659F">
        <w:rPr>
          <w:b w:val="0"/>
          <w:bCs w:val="0"/>
          <w:color w:val="FF0000"/>
        </w:rPr>
        <w:t>a transfer</w:t>
      </w:r>
      <w:r w:rsidRPr="00D7659F">
        <w:rPr>
          <w:b w:val="0"/>
          <w:bCs w:val="0"/>
          <w:color w:val="FF0000"/>
        </w:rPr>
        <w:noBreakHyphen/>
      </w:r>
      <w:proofErr w:type="gramEnd"/>
      <w:r w:rsidRPr="00D7659F">
        <w:rPr>
          <w:b w:val="0"/>
          <w:bCs w:val="0"/>
          <w:color w:val="FF0000"/>
        </w:rPr>
        <w:t>related technology had been postponed due to a family emergency involving the presenter. As a result, the committee would allocate additional time to broader “visioning” conversations around transfer and possibly revisit GT Pathways work. He emphasized that the committee has two parallel roles: responding to immediate operational and audit</w:t>
      </w:r>
      <w:r w:rsidRPr="00D7659F">
        <w:rPr>
          <w:b w:val="0"/>
          <w:bCs w:val="0"/>
          <w:color w:val="FF0000"/>
        </w:rPr>
        <w:noBreakHyphen/>
        <w:t>related transfer issues brought forward by CDHE staff, and engaging in deeper, aspirational work around redesigning the transfer ecosystem. The goal for this meeting’s first segment was to focus on articulating long</w:t>
      </w:r>
      <w:r w:rsidRPr="00D7659F">
        <w:rPr>
          <w:b w:val="0"/>
          <w:bCs w:val="0"/>
          <w:color w:val="FF0000"/>
        </w:rPr>
        <w:noBreakHyphen/>
        <w:t>range vision, core principles, and desired learner experiences across the state.</w:t>
      </w:r>
    </w:p>
    <w:p w14:paraId="33118185" w14:textId="68E6985D" w:rsidR="00D7659F" w:rsidRPr="00D7659F" w:rsidRDefault="00D7659F" w:rsidP="00A92EEA">
      <w:pPr>
        <w:pStyle w:val="Informal2"/>
        <w:tabs>
          <w:tab w:val="right" w:pos="2160"/>
        </w:tabs>
        <w:ind w:left="2880" w:hanging="2880"/>
        <w:rPr>
          <w:b w:val="0"/>
          <w:bCs w:val="0"/>
          <w:color w:val="4F6228" w:themeColor="accent3" w:themeShade="80"/>
        </w:rPr>
      </w:pPr>
    </w:p>
    <w:bookmarkEnd w:id="2"/>
    <w:p w14:paraId="6FF16920" w14:textId="3038BD38" w:rsidR="006A14D8" w:rsidRPr="008460F3" w:rsidRDefault="00BB6417" w:rsidP="008460F3">
      <w:pPr>
        <w:pStyle w:val="Informal1"/>
        <w:ind w:left="2880" w:right="-126" w:hanging="2880"/>
        <w:rPr>
          <w:rFonts w:ascii="Trebuchet MS" w:hAnsi="Trebuchet MS"/>
          <w:iCs/>
          <w:sz w:val="22"/>
          <w:szCs w:val="22"/>
        </w:rPr>
      </w:pPr>
      <w:r>
        <w:rPr>
          <w:rFonts w:ascii="Trebuchet MS" w:hAnsi="Trebuchet MS"/>
          <w:noProof/>
        </w:rPr>
        <mc:AlternateContent>
          <mc:Choice Requires="wps">
            <w:drawing>
              <wp:anchor distT="0" distB="0" distL="114300" distR="114300" simplePos="0" relativeHeight="251681792" behindDoc="0" locked="0" layoutInCell="1" allowOverlap="1" wp14:anchorId="2780E08F" wp14:editId="2714E910">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5A07"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7CD279" w14:textId="11376625" w:rsidR="00FB6F51" w:rsidRPr="00C241AA" w:rsidRDefault="00580476" w:rsidP="00C42001">
      <w:pPr>
        <w:pStyle w:val="Informal2"/>
        <w:tabs>
          <w:tab w:val="right" w:pos="2160"/>
        </w:tabs>
        <w:ind w:left="2880" w:hanging="2880"/>
      </w:pPr>
      <w:r>
        <w:t>2:00 pm</w:t>
      </w:r>
      <w:r w:rsidR="00FB6F51" w:rsidRPr="002B1B26">
        <w:tab/>
      </w:r>
      <w:r w:rsidR="00FB6F51" w:rsidRPr="002B1B26">
        <w:tab/>
      </w:r>
      <w:r w:rsidR="00D1696E">
        <w:t>Continued Discussion of GT Pathways Policy Changes</w:t>
      </w:r>
      <w:r w:rsidR="00C42001">
        <w:t xml:space="preserve"> for the OSA Transfer Audit</w:t>
      </w:r>
    </w:p>
    <w:p w14:paraId="460D03F4" w14:textId="77777777" w:rsidR="00C42001" w:rsidRDefault="00C42001" w:rsidP="00C4200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Carl Einhaus and Brad Griffith, CDHE</w:t>
      </w:r>
    </w:p>
    <w:p w14:paraId="48BF82CA" w14:textId="77777777" w:rsidR="00A67C0F" w:rsidRDefault="00A67C0F" w:rsidP="00A67C0F">
      <w:pPr>
        <w:ind w:left="2880"/>
        <w:rPr>
          <w:rFonts w:ascii="Arial" w:hAnsi="Arial" w:cs="Arial"/>
          <w:color w:val="FF0000"/>
          <w:sz w:val="24"/>
          <w:szCs w:val="24"/>
        </w:rPr>
      </w:pPr>
      <w:r w:rsidRPr="00A67C0F">
        <w:rPr>
          <w:rFonts w:ascii="Arial" w:hAnsi="Arial" w:cs="Arial"/>
          <w:color w:val="FF0000"/>
          <w:sz w:val="24"/>
          <w:szCs w:val="24"/>
        </w:rPr>
        <w:t>Brad shifted the meeting to review redlined GT Pathways and transfer</w:t>
      </w:r>
      <w:r w:rsidRPr="00A67C0F">
        <w:rPr>
          <w:rFonts w:ascii="Arial" w:hAnsi="Arial" w:cs="Arial"/>
          <w:color w:val="FF0000"/>
          <w:sz w:val="24"/>
          <w:szCs w:val="24"/>
        </w:rPr>
        <w:noBreakHyphen/>
        <w:t>related policy revisions. He clarified that comments from the previous meeting were incorporated except for new questions raised during this session. Major themes included course substitution authority, identifying appropriate levels of institutional autonomy, and exploring a more unified credit mobility framework across PLA, GT Pathways, and statewide transfer degrees. He encouraged members to revisit the documents and offer more feedback.</w:t>
      </w:r>
    </w:p>
    <w:p w14:paraId="0E8F6E33" w14:textId="77777777" w:rsidR="00A67C0F" w:rsidRDefault="00A67C0F" w:rsidP="00A67C0F">
      <w:pPr>
        <w:ind w:left="2880"/>
        <w:rPr>
          <w:rFonts w:ascii="Arial" w:hAnsi="Arial" w:cs="Arial"/>
          <w:color w:val="FF0000"/>
          <w:sz w:val="24"/>
          <w:szCs w:val="24"/>
        </w:rPr>
      </w:pPr>
    </w:p>
    <w:p w14:paraId="58FAFCAB" w14:textId="3800389E" w:rsidR="00A67C0F" w:rsidRDefault="00A67C0F" w:rsidP="00A67C0F">
      <w:pPr>
        <w:ind w:left="2880"/>
        <w:rPr>
          <w:rFonts w:ascii="Arial" w:hAnsi="Arial" w:cs="Arial"/>
          <w:color w:val="FF0000"/>
          <w:sz w:val="24"/>
          <w:szCs w:val="24"/>
        </w:rPr>
      </w:pPr>
      <w:r w:rsidRPr="00A67C0F">
        <w:rPr>
          <w:rFonts w:ascii="Arial" w:hAnsi="Arial" w:cs="Arial"/>
          <w:color w:val="FF0000"/>
          <w:sz w:val="24"/>
          <w:szCs w:val="24"/>
        </w:rPr>
        <w:t>A significant portion of the GT Pathways policy discussion focused on transcript submission requirements raised during the state audit. The proposed language required institutions to notify students to submit final transcripts within 10 days and permitted institutions to place holds for missing documents. Several members</w:t>
      </w:r>
      <w:r w:rsidR="00325E46">
        <w:rPr>
          <w:rFonts w:ascii="Arial" w:hAnsi="Arial" w:cs="Arial"/>
          <w:color w:val="FF0000"/>
          <w:sz w:val="24"/>
          <w:szCs w:val="24"/>
        </w:rPr>
        <w:t xml:space="preserve"> </w:t>
      </w:r>
      <w:r w:rsidRPr="00A67C0F">
        <w:rPr>
          <w:rFonts w:ascii="Arial" w:hAnsi="Arial" w:cs="Arial"/>
          <w:color w:val="FF0000"/>
          <w:sz w:val="24"/>
          <w:szCs w:val="24"/>
        </w:rPr>
        <w:t>raised concerns about unintended consequences: costs to students, especially non</w:t>
      </w:r>
      <w:r w:rsidRPr="00A67C0F">
        <w:rPr>
          <w:rFonts w:ascii="Arial" w:hAnsi="Arial" w:cs="Arial"/>
          <w:color w:val="FF0000"/>
          <w:sz w:val="24"/>
          <w:szCs w:val="24"/>
        </w:rPr>
        <w:noBreakHyphen/>
        <w:t>degree</w:t>
      </w:r>
      <w:r w:rsidRPr="00A67C0F">
        <w:rPr>
          <w:rFonts w:ascii="Arial" w:hAnsi="Arial" w:cs="Arial"/>
          <w:color w:val="FF0000"/>
          <w:sz w:val="24"/>
          <w:szCs w:val="24"/>
        </w:rPr>
        <w:noBreakHyphen/>
        <w:t>seeking learners; burdens on open</w:t>
      </w:r>
      <w:r w:rsidRPr="00A67C0F">
        <w:rPr>
          <w:rFonts w:ascii="Arial" w:hAnsi="Arial" w:cs="Arial"/>
          <w:color w:val="FF0000"/>
          <w:sz w:val="24"/>
          <w:szCs w:val="24"/>
        </w:rPr>
        <w:noBreakHyphen/>
        <w:t xml:space="preserve">access institutions; potential registration barriers; and complications for closed or unaccredited institutions. Suggestions included using </w:t>
      </w:r>
      <w:r w:rsidRPr="00A67C0F">
        <w:rPr>
          <w:rFonts w:ascii="Arial" w:hAnsi="Arial" w:cs="Arial"/>
          <w:color w:val="FF0000"/>
          <w:sz w:val="24"/>
          <w:szCs w:val="24"/>
        </w:rPr>
        <w:lastRenderedPageBreak/>
        <w:t>softer or recommended language, limiting requirements to degree</w:t>
      </w:r>
      <w:r w:rsidRPr="00A67C0F">
        <w:rPr>
          <w:rFonts w:ascii="Arial" w:hAnsi="Arial" w:cs="Arial"/>
          <w:color w:val="FF0000"/>
          <w:sz w:val="24"/>
          <w:szCs w:val="24"/>
        </w:rPr>
        <w:noBreakHyphen/>
        <w:t>seeking students, emphasizing proactive communication in admissions materials, and avoiding rigid timelines that could become operational burdens.</w:t>
      </w:r>
    </w:p>
    <w:p w14:paraId="6171C23D" w14:textId="77777777" w:rsidR="00E2660C" w:rsidRDefault="00E2660C" w:rsidP="00A67C0F">
      <w:pPr>
        <w:ind w:left="2880"/>
        <w:rPr>
          <w:rFonts w:ascii="Arial" w:hAnsi="Arial" w:cs="Arial"/>
          <w:color w:val="FF0000"/>
          <w:sz w:val="24"/>
          <w:szCs w:val="24"/>
        </w:rPr>
      </w:pPr>
    </w:p>
    <w:p w14:paraId="73773C17" w14:textId="55B5848B" w:rsidR="00E2660C" w:rsidRDefault="00E2660C" w:rsidP="00A67C0F">
      <w:pPr>
        <w:ind w:left="2880"/>
        <w:rPr>
          <w:rFonts w:ascii="Arial" w:hAnsi="Arial" w:cs="Arial"/>
          <w:color w:val="FF0000"/>
          <w:sz w:val="24"/>
          <w:szCs w:val="24"/>
        </w:rPr>
      </w:pPr>
      <w:r>
        <w:rPr>
          <w:rFonts w:ascii="Arial" w:hAnsi="Arial" w:cs="Arial"/>
          <w:color w:val="FF0000"/>
          <w:sz w:val="24"/>
          <w:szCs w:val="24"/>
        </w:rPr>
        <w:t xml:space="preserve">It was noted that two areas need clearer policy guidance: </w:t>
      </w:r>
    </w:p>
    <w:p w14:paraId="6CF938A0" w14:textId="253F8081" w:rsidR="00E2660C" w:rsidRPr="00E64E09" w:rsidRDefault="00E2660C" w:rsidP="00E2660C">
      <w:pPr>
        <w:pStyle w:val="ListParagraph"/>
        <w:numPr>
          <w:ilvl w:val="0"/>
          <w:numId w:val="8"/>
        </w:numPr>
        <w:rPr>
          <w:rFonts w:ascii="Arial" w:hAnsi="Arial" w:cs="Arial"/>
          <w:color w:val="FF0000"/>
          <w:sz w:val="24"/>
          <w:szCs w:val="24"/>
        </w:rPr>
      </w:pPr>
      <w:r w:rsidRPr="00E64E09">
        <w:rPr>
          <w:rFonts w:ascii="Arial" w:hAnsi="Arial" w:cs="Arial"/>
          <w:color w:val="FF0000"/>
          <w:sz w:val="24"/>
          <w:szCs w:val="24"/>
        </w:rPr>
        <w:t xml:space="preserve">Degree </w:t>
      </w:r>
      <w:r w:rsidR="00E64E09">
        <w:rPr>
          <w:rFonts w:ascii="Arial" w:hAnsi="Arial" w:cs="Arial"/>
          <w:color w:val="FF0000"/>
          <w:sz w:val="24"/>
          <w:szCs w:val="24"/>
        </w:rPr>
        <w:t>w</w:t>
      </w:r>
      <w:r w:rsidRPr="00E64E09">
        <w:rPr>
          <w:rFonts w:ascii="Arial" w:hAnsi="Arial" w:cs="Arial"/>
          <w:color w:val="FF0000"/>
          <w:sz w:val="24"/>
          <w:szCs w:val="24"/>
        </w:rPr>
        <w:t>ith Designation (</w:t>
      </w:r>
      <w:proofErr w:type="spellStart"/>
      <w:r w:rsidRPr="00E64E09">
        <w:rPr>
          <w:rFonts w:ascii="Arial" w:hAnsi="Arial" w:cs="Arial"/>
          <w:color w:val="FF0000"/>
          <w:sz w:val="24"/>
          <w:szCs w:val="24"/>
        </w:rPr>
        <w:t>D</w:t>
      </w:r>
      <w:r w:rsidR="00E64E09">
        <w:rPr>
          <w:rFonts w:ascii="Arial" w:hAnsi="Arial" w:cs="Arial"/>
          <w:color w:val="FF0000"/>
          <w:sz w:val="24"/>
          <w:szCs w:val="24"/>
        </w:rPr>
        <w:t>w</w:t>
      </w:r>
      <w:r w:rsidRPr="00E64E09">
        <w:rPr>
          <w:rFonts w:ascii="Arial" w:hAnsi="Arial" w:cs="Arial"/>
          <w:color w:val="FF0000"/>
          <w:sz w:val="24"/>
          <w:szCs w:val="24"/>
        </w:rPr>
        <w:t>D</w:t>
      </w:r>
      <w:proofErr w:type="spellEnd"/>
      <w:r w:rsidRPr="00E64E09">
        <w:rPr>
          <w:rFonts w:ascii="Arial" w:hAnsi="Arial" w:cs="Arial"/>
          <w:color w:val="FF0000"/>
          <w:sz w:val="24"/>
          <w:szCs w:val="24"/>
        </w:rPr>
        <w:t xml:space="preserve">) Exception Request Form – Many institutions are unfamiliar with the process, leading to inconsistent practice. </w:t>
      </w:r>
    </w:p>
    <w:p w14:paraId="57484347" w14:textId="77777777" w:rsidR="00E64E09" w:rsidRDefault="00E2660C" w:rsidP="00E2660C">
      <w:pPr>
        <w:pStyle w:val="ListParagraph"/>
        <w:numPr>
          <w:ilvl w:val="0"/>
          <w:numId w:val="8"/>
        </w:numPr>
        <w:rPr>
          <w:rFonts w:ascii="Arial" w:hAnsi="Arial" w:cs="Arial"/>
          <w:color w:val="FF0000"/>
          <w:sz w:val="24"/>
          <w:szCs w:val="24"/>
        </w:rPr>
      </w:pPr>
      <w:r w:rsidRPr="00E64E09">
        <w:rPr>
          <w:rFonts w:ascii="Arial" w:hAnsi="Arial" w:cs="Arial"/>
          <w:color w:val="FF0000"/>
          <w:sz w:val="24"/>
          <w:szCs w:val="24"/>
        </w:rPr>
        <w:t>BAS Gen</w:t>
      </w:r>
      <w:r w:rsidRPr="00E64E09">
        <w:rPr>
          <w:rFonts w:ascii="Arial" w:hAnsi="Arial" w:cs="Arial"/>
          <w:color w:val="FF0000"/>
          <w:sz w:val="24"/>
          <w:szCs w:val="24"/>
        </w:rPr>
        <w:noBreakHyphen/>
        <w:t>Ed Waiver Implications</w:t>
      </w:r>
      <w:r w:rsidRPr="00E2660C">
        <w:rPr>
          <w:rFonts w:ascii="Arial" w:hAnsi="Arial" w:cs="Arial"/>
          <w:color w:val="FF0000"/>
          <w:sz w:val="24"/>
          <w:szCs w:val="24"/>
        </w:rPr>
        <w:t xml:space="preserve"> – The current draft acknowledges BAS waivers but does not explain how such waivers affect transfer or GT applicability.</w:t>
      </w:r>
      <w:r w:rsidRPr="00E2660C">
        <w:rPr>
          <w:rFonts w:ascii="Arial" w:hAnsi="Arial" w:cs="Arial"/>
          <w:color w:val="FF0000"/>
          <w:sz w:val="24"/>
          <w:szCs w:val="24"/>
        </w:rPr>
        <w:br/>
      </w:r>
    </w:p>
    <w:p w14:paraId="18CA95F4" w14:textId="10318858" w:rsidR="00A67C0F" w:rsidRPr="00E64E09" w:rsidRDefault="00E2660C" w:rsidP="00E64E09">
      <w:pPr>
        <w:ind w:left="2880"/>
        <w:rPr>
          <w:rFonts w:ascii="Arial" w:hAnsi="Arial" w:cs="Arial"/>
          <w:color w:val="FF0000"/>
          <w:sz w:val="24"/>
          <w:szCs w:val="24"/>
        </w:rPr>
      </w:pPr>
      <w:r w:rsidRPr="00E64E09">
        <w:rPr>
          <w:rFonts w:ascii="Arial" w:hAnsi="Arial" w:cs="Arial"/>
          <w:color w:val="FF0000"/>
          <w:sz w:val="24"/>
          <w:szCs w:val="24"/>
        </w:rPr>
        <w:t>Brad acknowledged both as legitimate clarification needs and committed to integrating these into the next policy draft.</w:t>
      </w:r>
    </w:p>
    <w:p w14:paraId="2C958421" w14:textId="77777777" w:rsidR="00E2660C" w:rsidRPr="00E2660C" w:rsidRDefault="00E2660C" w:rsidP="00E2660C">
      <w:pPr>
        <w:pStyle w:val="ListParagraph"/>
        <w:ind w:left="3600"/>
        <w:rPr>
          <w:rFonts w:ascii="Arial" w:hAnsi="Arial" w:cs="Arial"/>
          <w:color w:val="FF0000"/>
          <w:sz w:val="24"/>
          <w:szCs w:val="24"/>
        </w:rPr>
      </w:pPr>
    </w:p>
    <w:p w14:paraId="524F21C4" w14:textId="685B644B" w:rsidR="00E2660C" w:rsidRDefault="00A67C0F" w:rsidP="00A67C0F">
      <w:pPr>
        <w:ind w:left="2880"/>
        <w:rPr>
          <w:rFonts w:ascii="Arial" w:hAnsi="Arial" w:cs="Arial"/>
          <w:color w:val="FF0000"/>
          <w:sz w:val="24"/>
          <w:szCs w:val="24"/>
        </w:rPr>
      </w:pPr>
      <w:r w:rsidRPr="00A67C0F">
        <w:rPr>
          <w:rFonts w:ascii="Arial" w:hAnsi="Arial" w:cs="Arial"/>
          <w:b/>
          <w:bCs/>
          <w:color w:val="FF0000"/>
          <w:sz w:val="24"/>
          <w:szCs w:val="24"/>
        </w:rPr>
        <w:t>Next steps:</w:t>
      </w:r>
    </w:p>
    <w:p w14:paraId="3E8CF299" w14:textId="77777777" w:rsidR="00E2660C" w:rsidRDefault="00A67C0F" w:rsidP="00E2660C">
      <w:pPr>
        <w:pStyle w:val="ListParagraph"/>
        <w:numPr>
          <w:ilvl w:val="0"/>
          <w:numId w:val="9"/>
        </w:numPr>
        <w:rPr>
          <w:rFonts w:ascii="Arial" w:hAnsi="Arial" w:cs="Arial"/>
          <w:color w:val="FF0000"/>
          <w:sz w:val="24"/>
          <w:szCs w:val="24"/>
        </w:rPr>
      </w:pPr>
      <w:r w:rsidRPr="00E2660C">
        <w:rPr>
          <w:rFonts w:ascii="Arial" w:hAnsi="Arial" w:cs="Arial"/>
          <w:color w:val="FF0000"/>
          <w:sz w:val="24"/>
          <w:szCs w:val="24"/>
        </w:rPr>
        <w:t>CDHE staff to revise policy language to reflect degree</w:t>
      </w:r>
      <w:r w:rsidRPr="00E2660C">
        <w:rPr>
          <w:rFonts w:ascii="Arial" w:hAnsi="Arial" w:cs="Arial"/>
          <w:color w:val="FF0000"/>
          <w:sz w:val="24"/>
          <w:szCs w:val="24"/>
        </w:rPr>
        <w:noBreakHyphen/>
        <w:t>seeking distinctions and consider optional rather than mandatory timelines.</w:t>
      </w:r>
    </w:p>
    <w:p w14:paraId="2FBC1ACB" w14:textId="5AD1D2B3" w:rsidR="00A67C0F" w:rsidRPr="00E2660C" w:rsidRDefault="00A67C0F" w:rsidP="00E2660C">
      <w:pPr>
        <w:pStyle w:val="ListParagraph"/>
        <w:numPr>
          <w:ilvl w:val="0"/>
          <w:numId w:val="9"/>
        </w:numPr>
        <w:rPr>
          <w:rFonts w:ascii="Arial" w:hAnsi="Arial" w:cs="Arial"/>
          <w:color w:val="FF0000"/>
          <w:sz w:val="24"/>
          <w:szCs w:val="24"/>
        </w:rPr>
      </w:pPr>
      <w:r w:rsidRPr="00E2660C">
        <w:rPr>
          <w:rFonts w:ascii="Arial" w:hAnsi="Arial" w:cs="Arial"/>
          <w:color w:val="FF0000"/>
          <w:sz w:val="24"/>
          <w:szCs w:val="24"/>
        </w:rPr>
        <w:t>Members to continue reviewing and commenting prior to the next meeting.</w:t>
      </w:r>
      <w:r w:rsidRPr="00E2660C">
        <w:rPr>
          <w:rFonts w:ascii="Arial" w:hAnsi="Arial" w:cs="Arial"/>
          <w:color w:val="FF0000"/>
          <w:sz w:val="24"/>
          <w:szCs w:val="24"/>
        </w:rPr>
        <w:br/>
        <w:t>(No deadlines specified.)</w:t>
      </w:r>
    </w:p>
    <w:p w14:paraId="5A7557F4" w14:textId="77777777" w:rsidR="00A67C0F" w:rsidRDefault="00A67C0F" w:rsidP="00E64E09">
      <w:pPr>
        <w:rPr>
          <w:rFonts w:ascii="Arial" w:hAnsi="Arial" w:cs="Arial"/>
          <w:i/>
          <w:iCs/>
          <w:color w:val="4F6228" w:themeColor="accent3" w:themeShade="80"/>
          <w:sz w:val="24"/>
          <w:szCs w:val="24"/>
        </w:rPr>
      </w:pP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E2221EA" w14:textId="322C8876" w:rsidR="00D1696E" w:rsidRPr="00C241AA" w:rsidRDefault="00580476" w:rsidP="00D1696E">
      <w:pPr>
        <w:pStyle w:val="Informal2"/>
        <w:tabs>
          <w:tab w:val="right" w:pos="2160"/>
        </w:tabs>
      </w:pPr>
      <w:r>
        <w:t>2:20 pm</w:t>
      </w:r>
      <w:r w:rsidR="00D1696E" w:rsidRPr="002B1B26">
        <w:tab/>
      </w:r>
      <w:r w:rsidR="00D1696E" w:rsidRPr="002B1B26">
        <w:tab/>
      </w:r>
      <w:r w:rsidR="00C42001">
        <w:t>Closing Discussion and Next Steps</w:t>
      </w:r>
    </w:p>
    <w:p w14:paraId="277FBCEA" w14:textId="77777777" w:rsidR="00C42001" w:rsidRDefault="00C42001" w:rsidP="00C4200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399BD02C" w14:textId="77777777" w:rsidR="004D0EDC" w:rsidRPr="004D0EDC" w:rsidRDefault="004D0EDC" w:rsidP="004D0EDC">
      <w:pPr>
        <w:ind w:left="2880"/>
        <w:rPr>
          <w:rFonts w:ascii="Arial" w:hAnsi="Arial" w:cs="Arial"/>
          <w:color w:val="FF0000"/>
          <w:sz w:val="24"/>
          <w:szCs w:val="24"/>
        </w:rPr>
      </w:pPr>
      <w:r w:rsidRPr="004D0EDC">
        <w:rPr>
          <w:rFonts w:ascii="Arial" w:hAnsi="Arial" w:cs="Arial"/>
          <w:color w:val="FF0000"/>
          <w:sz w:val="24"/>
          <w:szCs w:val="24"/>
        </w:rPr>
        <w:t>Commissioner Abramson closed the meeting by reiterating the multi</w:t>
      </w:r>
      <w:r w:rsidRPr="004D0EDC">
        <w:rPr>
          <w:rFonts w:ascii="Arial" w:hAnsi="Arial" w:cs="Arial"/>
          <w:color w:val="FF0000"/>
          <w:sz w:val="24"/>
          <w:szCs w:val="24"/>
        </w:rPr>
        <w:noBreakHyphen/>
        <w:t>part structure of the visioning process and emphasizing that the committee’s purpose is to challenge underlying assumptions and propose bold new models. Brad and Carl thanked members for their contributions and encouraged continued feedback on the GT Pathways redlines and the broader credit mobility vision. The group will revisit both the aspirational framework and specific policy revisions at upcoming meetings.</w:t>
      </w:r>
    </w:p>
    <w:p w14:paraId="28978115" w14:textId="77777777" w:rsidR="004D0EDC" w:rsidRPr="00FB6F51" w:rsidRDefault="004D0EDC" w:rsidP="00C42001">
      <w:pPr>
        <w:ind w:left="2160" w:firstLine="720"/>
        <w:rPr>
          <w:rFonts w:ascii="Arial" w:hAnsi="Arial" w:cs="Arial"/>
          <w:i/>
          <w:iCs/>
          <w:color w:val="4F6228" w:themeColor="accent3" w:themeShade="80"/>
          <w:sz w:val="24"/>
          <w:szCs w:val="24"/>
        </w:rPr>
      </w:pPr>
    </w:p>
    <w:p w14:paraId="67615592" w14:textId="77777777" w:rsidR="00D1696E" w:rsidRDefault="00D1696E" w:rsidP="00D1696E">
      <w:pPr>
        <w:ind w:left="2160" w:firstLine="720"/>
        <w:rPr>
          <w:rFonts w:ascii="Arial" w:hAnsi="Arial" w:cs="Arial"/>
          <w:i/>
          <w:iCs/>
          <w:color w:val="4F6228" w:themeColor="accent3" w:themeShade="80"/>
          <w:sz w:val="24"/>
          <w:szCs w:val="24"/>
        </w:rPr>
      </w:pPr>
    </w:p>
    <w:p w14:paraId="31CD2E40" w14:textId="695ECD46" w:rsidR="00272F68" w:rsidRDefault="00430687" w:rsidP="00D1696E">
      <w:pPr>
        <w:pStyle w:val="Informal2"/>
        <w:tabs>
          <w:tab w:val="right" w:pos="2160"/>
        </w:tabs>
        <w:ind w:left="2880" w:hanging="2880"/>
      </w:pPr>
      <w:r w:rsidRPr="002B1B26">
        <w:t>Next meeting date:</w:t>
      </w:r>
      <w:r w:rsidR="00A47DB5">
        <w:t xml:space="preserve"> </w:t>
      </w:r>
      <w:r w:rsidR="00D1696E">
        <w:t>Tuesday, April 7, 1-2:30 pm</w:t>
      </w:r>
    </w:p>
    <w:p w14:paraId="0509CA03" w14:textId="77777777" w:rsidR="00D1696E" w:rsidRDefault="00D1696E" w:rsidP="00D1696E">
      <w:pPr>
        <w:pStyle w:val="Informal2"/>
        <w:tabs>
          <w:tab w:val="right" w:pos="2160"/>
        </w:tabs>
        <w:ind w:left="2880" w:hanging="2880"/>
      </w:pPr>
    </w:p>
    <w:p w14:paraId="162F37E1" w14:textId="77777777" w:rsidR="00D1696E" w:rsidRDefault="00D1696E" w:rsidP="00D1696E">
      <w:pPr>
        <w:pStyle w:val="Informal2"/>
        <w:tabs>
          <w:tab w:val="right" w:pos="2160"/>
        </w:tabs>
        <w:ind w:left="2880" w:hanging="2880"/>
      </w:pPr>
    </w:p>
    <w:p w14:paraId="30B7642D" w14:textId="77777777" w:rsidR="00D1696E" w:rsidRDefault="00D1696E" w:rsidP="00D1696E">
      <w:pPr>
        <w:pStyle w:val="Informal2"/>
        <w:tabs>
          <w:tab w:val="right" w:pos="2160"/>
        </w:tabs>
        <w:ind w:left="2880" w:hanging="2880"/>
      </w:pPr>
    </w:p>
    <w:p w14:paraId="1993EA9F" w14:textId="77777777" w:rsidR="00D1696E" w:rsidRPr="002B1B26" w:rsidRDefault="00D1696E" w:rsidP="00D1696E">
      <w:pPr>
        <w:pStyle w:val="Informal2"/>
        <w:tabs>
          <w:tab w:val="right" w:pos="2160"/>
        </w:tabs>
        <w:ind w:left="2880" w:hanging="2880"/>
      </w:pPr>
    </w:p>
    <w:p w14:paraId="1CFE9ED4" w14:textId="74F5F3B5" w:rsidR="008A2A1F" w:rsidRPr="002B1B26" w:rsidRDefault="008A2A1F">
      <w:pPr>
        <w:rPr>
          <w:rFonts w:ascii="Arial" w:hAnsi="Arial" w:cs="Arial"/>
        </w:rPr>
      </w:pPr>
      <w:r w:rsidRPr="002B1B26">
        <w:rPr>
          <w:rFonts w:ascii="Arial" w:hAnsi="Arial" w:cs="Arial"/>
          <w:b/>
          <w:sz w:val="24"/>
          <w:szCs w:val="24"/>
        </w:rPr>
        <w:t>ACTION ITEMS</w:t>
      </w: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D1696E">
        <w:trPr>
          <w:tblHeader/>
        </w:trPr>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bookmarkStart w:id="3" w:name="AdditionalInformation"/>
            <w:bookmarkEnd w:id="3"/>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p>
    <w:sectPr w:rsidR="002A471F" w:rsidRPr="002B1B26" w:rsidSect="00F97AA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E4506A4"/>
    <w:multiLevelType w:val="hybridMultilevel"/>
    <w:tmpl w:val="E05CAC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5559"/>
    <w:multiLevelType w:val="hybridMultilevel"/>
    <w:tmpl w:val="0FD252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DDD3330"/>
    <w:multiLevelType w:val="hybridMultilevel"/>
    <w:tmpl w:val="07B62E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E0F6C5D"/>
    <w:multiLevelType w:val="multilevel"/>
    <w:tmpl w:val="EC26EB76"/>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num w:numId="1" w16cid:durableId="1368290907">
    <w:abstractNumId w:val="8"/>
  </w:num>
  <w:num w:numId="2" w16cid:durableId="1345016178">
    <w:abstractNumId w:val="9"/>
  </w:num>
  <w:num w:numId="3" w16cid:durableId="855119947">
    <w:abstractNumId w:val="5"/>
  </w:num>
  <w:num w:numId="4" w16cid:durableId="1728718574">
    <w:abstractNumId w:val="2"/>
  </w:num>
  <w:num w:numId="5" w16cid:durableId="545222613">
    <w:abstractNumId w:val="0"/>
  </w:num>
  <w:num w:numId="6" w16cid:durableId="769665574">
    <w:abstractNumId w:val="3"/>
  </w:num>
  <w:num w:numId="7" w16cid:durableId="1759516500">
    <w:abstractNumId w:val="6"/>
  </w:num>
  <w:num w:numId="8" w16cid:durableId="1534884106">
    <w:abstractNumId w:val="4"/>
  </w:num>
  <w:num w:numId="9" w16cid:durableId="1374768166">
    <w:abstractNumId w:val="1"/>
  </w:num>
  <w:num w:numId="10" w16cid:durableId="1240753997">
    <w:abstractNumId w:val="10"/>
  </w:num>
  <w:num w:numId="11" w16cid:durableId="11262413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1D9"/>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579C1"/>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3871"/>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28D1"/>
    <w:rsid w:val="002D3791"/>
    <w:rsid w:val="002D4F7A"/>
    <w:rsid w:val="002D610B"/>
    <w:rsid w:val="002D6EE0"/>
    <w:rsid w:val="002D7795"/>
    <w:rsid w:val="002D7BCD"/>
    <w:rsid w:val="002D7E28"/>
    <w:rsid w:val="002E090C"/>
    <w:rsid w:val="002E2A96"/>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25E46"/>
    <w:rsid w:val="003302D8"/>
    <w:rsid w:val="00332BDA"/>
    <w:rsid w:val="00335BD6"/>
    <w:rsid w:val="003369DC"/>
    <w:rsid w:val="0033714C"/>
    <w:rsid w:val="00340C30"/>
    <w:rsid w:val="00341E95"/>
    <w:rsid w:val="00342D32"/>
    <w:rsid w:val="003441C0"/>
    <w:rsid w:val="00345655"/>
    <w:rsid w:val="0035061E"/>
    <w:rsid w:val="003509AD"/>
    <w:rsid w:val="003523E6"/>
    <w:rsid w:val="003527FC"/>
    <w:rsid w:val="00355B43"/>
    <w:rsid w:val="00356621"/>
    <w:rsid w:val="00356DBC"/>
    <w:rsid w:val="00357E02"/>
    <w:rsid w:val="00360CCF"/>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16297"/>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0EDC"/>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476"/>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B0C"/>
    <w:rsid w:val="00620777"/>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4A03"/>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040"/>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1CD"/>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1744"/>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3F8A"/>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1970"/>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67C0F"/>
    <w:rsid w:val="00A72C68"/>
    <w:rsid w:val="00A74361"/>
    <w:rsid w:val="00A74869"/>
    <w:rsid w:val="00A76B4E"/>
    <w:rsid w:val="00A77E19"/>
    <w:rsid w:val="00A8336B"/>
    <w:rsid w:val="00A83ABB"/>
    <w:rsid w:val="00A90AAD"/>
    <w:rsid w:val="00A92EEA"/>
    <w:rsid w:val="00A933DC"/>
    <w:rsid w:val="00A94FF5"/>
    <w:rsid w:val="00A951B4"/>
    <w:rsid w:val="00A97726"/>
    <w:rsid w:val="00AA070E"/>
    <w:rsid w:val="00AA101C"/>
    <w:rsid w:val="00AA20BC"/>
    <w:rsid w:val="00AA3DD5"/>
    <w:rsid w:val="00AA5437"/>
    <w:rsid w:val="00AA5AE4"/>
    <w:rsid w:val="00AB1D15"/>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01"/>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1696E"/>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59F"/>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0C5D"/>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660C"/>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6B15"/>
    <w:rsid w:val="00E57C12"/>
    <w:rsid w:val="00E600BF"/>
    <w:rsid w:val="00E61BF3"/>
    <w:rsid w:val="00E62753"/>
    <w:rsid w:val="00E64E09"/>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6F77"/>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85895"/>
    <w:rsid w:val="00F90ACB"/>
    <w:rsid w:val="00F91521"/>
    <w:rsid w:val="00F95A1D"/>
    <w:rsid w:val="00F97AAC"/>
    <w:rsid w:val="00FA093D"/>
    <w:rsid w:val="00FA2D01"/>
    <w:rsid w:val="00FA2E6B"/>
    <w:rsid w:val="00FA6019"/>
    <w:rsid w:val="00FA68BE"/>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 w:type="paragraph" w:customStyle="1" w:styleId="xmsonormal">
    <w:name w:val="x_msonormal"/>
    <w:basedOn w:val="Normal"/>
    <w:rsid w:val="003523E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ghered-colorado-gov.zoom.us/rec/share/5G6sLqDzwdXfx26XqR45imLZYrpgbI2lEr9uH-bgUsN2nA-H-ROmkCZgfkoUN0c6.UscUnHyYpJjegN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935</Words>
  <Characters>6258</Characters>
  <Application>Microsoft Office Word</Application>
  <DocSecurity>0</DocSecurity>
  <Lines>447</Lines>
  <Paragraphs>248</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8</cp:revision>
  <cp:lastPrinted>2021-03-26T16:04:00Z</cp:lastPrinted>
  <dcterms:created xsi:type="dcterms:W3CDTF">2026-03-17T18:53:00Z</dcterms:created>
  <dcterms:modified xsi:type="dcterms:W3CDTF">2026-03-18T14:50:00Z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