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3966F8" w:rsidRDefault="00F97AAC" w:rsidP="00F97AAC">
            <w:pPr>
              <w:pStyle w:val="Informal1"/>
              <w:spacing w:before="0" w:after="0"/>
              <w:rPr>
                <w:rFonts w:ascii="Arial" w:hAnsi="Arial" w:cs="Arial"/>
                <w:b/>
                <w:bCs/>
              </w:rPr>
            </w:pPr>
            <w:bookmarkStart w:id="0" w:name="_Hlk248053814"/>
            <w:r w:rsidRPr="003966F8">
              <w:rPr>
                <w:rFonts w:ascii="Arial" w:hAnsi="Arial" w:cs="Arial"/>
                <w:b/>
              </w:rPr>
              <w:t>Meeting</w:t>
            </w:r>
          </w:p>
        </w:tc>
        <w:tc>
          <w:tcPr>
            <w:tcW w:w="7747" w:type="dxa"/>
            <w:vAlign w:val="center"/>
          </w:tcPr>
          <w:p w14:paraId="2CC2726C" w14:textId="4E0BA532" w:rsidR="007268CA" w:rsidRPr="003966F8" w:rsidRDefault="007268CA" w:rsidP="007268CA">
            <w:pPr>
              <w:pStyle w:val="Informal1"/>
              <w:rPr>
                <w:rFonts w:ascii="Arial" w:hAnsi="Arial" w:cs="Arial"/>
                <w:b/>
                <w:bCs/>
              </w:rPr>
            </w:pPr>
            <w:r w:rsidRPr="003966F8">
              <w:rPr>
                <w:rFonts w:ascii="Arial" w:hAnsi="Arial" w:cs="Arial"/>
                <w:b/>
                <w:bCs/>
              </w:rPr>
              <w:t xml:space="preserve">CCHE </w:t>
            </w:r>
            <w:r w:rsidR="00FB6F51" w:rsidRPr="003966F8">
              <w:rPr>
                <w:rFonts w:ascii="Arial" w:hAnsi="Arial" w:cs="Arial"/>
                <w:b/>
                <w:bCs/>
              </w:rPr>
              <w:t>Transfer Subcommittee</w:t>
            </w:r>
          </w:p>
          <w:p w14:paraId="3AAC6D3B" w14:textId="39D359E1" w:rsidR="007268CA" w:rsidRPr="003966F8" w:rsidRDefault="00744A03" w:rsidP="00F97AAC">
            <w:pPr>
              <w:pStyle w:val="Informal1"/>
              <w:spacing w:before="0" w:after="0"/>
              <w:rPr>
                <w:rFonts w:ascii="Arial" w:hAnsi="Arial" w:cs="Arial"/>
                <w:b/>
                <w:bCs/>
              </w:rPr>
            </w:pPr>
            <w:r w:rsidRPr="003966F8">
              <w:rPr>
                <w:rFonts w:ascii="Arial" w:hAnsi="Arial" w:cs="Arial"/>
                <w:b/>
                <w:bCs/>
              </w:rPr>
              <w:t>Tuesday</w:t>
            </w:r>
            <w:r w:rsidR="00A03C46" w:rsidRPr="003966F8">
              <w:rPr>
                <w:rFonts w:ascii="Arial" w:hAnsi="Arial" w:cs="Arial"/>
                <w:b/>
                <w:bCs/>
              </w:rPr>
              <w:t xml:space="preserve">, </w:t>
            </w:r>
            <w:r w:rsidR="00145F7C" w:rsidRPr="003966F8">
              <w:rPr>
                <w:rFonts w:ascii="Arial" w:hAnsi="Arial" w:cs="Arial"/>
                <w:b/>
                <w:bCs/>
              </w:rPr>
              <w:t>April 7, 2026</w:t>
            </w:r>
          </w:p>
          <w:p w14:paraId="03E73BAA" w14:textId="46C03F4E" w:rsidR="00F97AAC" w:rsidRPr="003966F8" w:rsidRDefault="004539D7" w:rsidP="00F97AAC">
            <w:pPr>
              <w:pStyle w:val="Informal1"/>
              <w:spacing w:before="0" w:after="0"/>
              <w:rPr>
                <w:rFonts w:ascii="Arial" w:hAnsi="Arial" w:cs="Arial"/>
                <w:b/>
                <w:bCs/>
              </w:rPr>
            </w:pPr>
            <w:r w:rsidRPr="003966F8">
              <w:rPr>
                <w:rFonts w:ascii="Arial" w:hAnsi="Arial" w:cs="Arial"/>
                <w:b/>
                <w:bCs/>
              </w:rPr>
              <w:t>1</w:t>
            </w:r>
            <w:r w:rsidR="00D1696E" w:rsidRPr="003966F8">
              <w:rPr>
                <w:rFonts w:ascii="Arial" w:hAnsi="Arial" w:cs="Arial"/>
                <w:b/>
                <w:bCs/>
              </w:rPr>
              <w:t>:00</w:t>
            </w:r>
            <w:r w:rsidRPr="003966F8">
              <w:rPr>
                <w:rFonts w:ascii="Arial" w:hAnsi="Arial" w:cs="Arial"/>
                <w:b/>
                <w:bCs/>
              </w:rPr>
              <w:t xml:space="preserve"> – 2:</w:t>
            </w:r>
            <w:r w:rsidR="00D1696E" w:rsidRPr="003966F8">
              <w:rPr>
                <w:rFonts w:ascii="Arial" w:hAnsi="Arial" w:cs="Arial"/>
                <w:b/>
                <w:bCs/>
              </w:rPr>
              <w:t>30</w:t>
            </w:r>
            <w:r w:rsidRPr="003966F8">
              <w:rPr>
                <w:rFonts w:ascii="Arial" w:hAnsi="Arial" w:cs="Arial"/>
                <w:b/>
                <w:bCs/>
              </w:rPr>
              <w:t xml:space="preserve"> pm</w:t>
            </w:r>
          </w:p>
        </w:tc>
      </w:tr>
      <w:tr w:rsidR="005E1F05" w:rsidRPr="002B1B26" w14:paraId="3B30776C" w14:textId="77777777" w:rsidTr="00B34E8A">
        <w:tc>
          <w:tcPr>
            <w:tcW w:w="2711" w:type="dxa"/>
            <w:shd w:val="pct10" w:color="auto" w:fill="auto"/>
          </w:tcPr>
          <w:p w14:paraId="70DAE327" w14:textId="77777777" w:rsidR="005E1F05" w:rsidRPr="003966F8" w:rsidRDefault="005E1F05" w:rsidP="00F97AAC">
            <w:pPr>
              <w:pStyle w:val="Informal2"/>
            </w:pPr>
            <w:r w:rsidRPr="003966F8">
              <w:t>Location</w:t>
            </w:r>
          </w:p>
        </w:tc>
        <w:tc>
          <w:tcPr>
            <w:tcW w:w="7729" w:type="dxa"/>
            <w:vAlign w:val="center"/>
          </w:tcPr>
          <w:p w14:paraId="059834DB" w14:textId="3B59BF32" w:rsidR="00F97AAC" w:rsidRPr="003966F8" w:rsidRDefault="00B34E8A" w:rsidP="00F97AAC">
            <w:pPr>
              <w:rPr>
                <w:rFonts w:ascii="Arial" w:hAnsi="Arial" w:cs="Arial"/>
                <w:sz w:val="24"/>
                <w:szCs w:val="24"/>
              </w:rPr>
            </w:pPr>
            <w:r w:rsidRPr="003966F8">
              <w:rPr>
                <w:rFonts w:ascii="Arial" w:hAnsi="Arial" w:cs="Arial"/>
                <w:sz w:val="24"/>
                <w:szCs w:val="24"/>
              </w:rPr>
              <w:t>Remote only</w:t>
            </w:r>
          </w:p>
        </w:tc>
      </w:tr>
      <w:bookmarkEnd w:id="0"/>
      <w:tr w:rsidR="00B34E8A" w:rsidRPr="002B1B26" w14:paraId="47D577B5" w14:textId="77777777" w:rsidTr="00B34E8A">
        <w:tc>
          <w:tcPr>
            <w:tcW w:w="2711" w:type="dxa"/>
            <w:shd w:val="pct10" w:color="auto" w:fill="auto"/>
          </w:tcPr>
          <w:p w14:paraId="4D62371C" w14:textId="2D8141D0" w:rsidR="00B34E8A" w:rsidRPr="003966F8" w:rsidRDefault="00F61C77" w:rsidP="00F97AAC">
            <w:pPr>
              <w:pStyle w:val="Informal2"/>
            </w:pPr>
            <w:r w:rsidRPr="003966F8">
              <w:t>Zoom</w:t>
            </w:r>
            <w:r w:rsidR="00B34E8A" w:rsidRPr="003966F8">
              <w:t xml:space="preserve"> Information</w:t>
            </w:r>
          </w:p>
        </w:tc>
        <w:tc>
          <w:tcPr>
            <w:tcW w:w="7729" w:type="dxa"/>
            <w:vAlign w:val="center"/>
          </w:tcPr>
          <w:p w14:paraId="4BE914F2" w14:textId="1DA4EDA4" w:rsidR="00B34E8A" w:rsidRPr="003966F8" w:rsidRDefault="00857F0F" w:rsidP="00145F7C">
            <w:pPr>
              <w:pStyle w:val="Informal2"/>
              <w:rPr>
                <w:b w:val="0"/>
                <w:bCs w:val="0"/>
              </w:rPr>
            </w:pPr>
            <w:hyperlink r:id="rId7" w:tooltip="Link to recording of CCHE Student Success &amp; Workforce Alignment Transfer Subcommittee April 7, 2026 virtual meeting" w:history="1">
              <w:r w:rsidRPr="003966F8">
                <w:rPr>
                  <w:rStyle w:val="Hyperlink"/>
                  <w:b w:val="0"/>
                  <w:bCs w:val="0"/>
                </w:rPr>
                <w:t>View Meeting Recording</w:t>
              </w:r>
            </w:hyperlink>
          </w:p>
        </w:tc>
      </w:tr>
      <w:tr w:rsidR="00B34E8A" w:rsidRPr="002B1B26" w14:paraId="5621B7C7" w14:textId="77777777" w:rsidTr="00B34E8A">
        <w:tc>
          <w:tcPr>
            <w:tcW w:w="2711" w:type="dxa"/>
            <w:shd w:val="pct10" w:color="auto" w:fill="auto"/>
          </w:tcPr>
          <w:p w14:paraId="635E34E4" w14:textId="43401D8F" w:rsidR="00B34E8A" w:rsidRPr="003966F8" w:rsidRDefault="00B34E8A" w:rsidP="00F97AAC">
            <w:pPr>
              <w:pStyle w:val="Informal2"/>
            </w:pPr>
            <w:bookmarkStart w:id="1" w:name="_Hlk26345983"/>
            <w:r w:rsidRPr="003966F8">
              <w:t>Meeting Participants</w:t>
            </w:r>
          </w:p>
        </w:tc>
        <w:tc>
          <w:tcPr>
            <w:tcW w:w="7729" w:type="dxa"/>
            <w:vAlign w:val="center"/>
          </w:tcPr>
          <w:p w14:paraId="301FFC60" w14:textId="5A98E356" w:rsidR="00B34E8A" w:rsidRPr="003966F8" w:rsidRDefault="00B34E8A" w:rsidP="00F97AAC">
            <w:pPr>
              <w:rPr>
                <w:rFonts w:ascii="Arial" w:hAnsi="Arial" w:cs="Arial"/>
                <w:sz w:val="24"/>
                <w:szCs w:val="24"/>
              </w:rPr>
            </w:pPr>
            <w:r w:rsidRPr="003966F8">
              <w:rPr>
                <w:rFonts w:ascii="Arial" w:hAnsi="Arial" w:cs="Arial"/>
                <w:sz w:val="24"/>
                <w:szCs w:val="24"/>
              </w:rPr>
              <w:t xml:space="preserve">CCHE </w:t>
            </w:r>
            <w:r w:rsidR="00FB6F51" w:rsidRPr="003966F8">
              <w:rPr>
                <w:rFonts w:ascii="Arial" w:hAnsi="Arial" w:cs="Arial"/>
                <w:sz w:val="24"/>
                <w:szCs w:val="24"/>
              </w:rPr>
              <w:t>Transfer Subcommittee Members, CDHE Staff</w:t>
            </w:r>
          </w:p>
        </w:tc>
      </w:tr>
      <w:bookmarkEnd w:id="1"/>
      <w:tr w:rsidR="00B34E8A" w:rsidRPr="002B1B26" w14:paraId="031B515A" w14:textId="77777777" w:rsidTr="00B34E8A">
        <w:tc>
          <w:tcPr>
            <w:tcW w:w="2711" w:type="dxa"/>
            <w:shd w:val="pct10" w:color="auto" w:fill="auto"/>
          </w:tcPr>
          <w:p w14:paraId="66944361" w14:textId="2946B153" w:rsidR="00B34E8A" w:rsidRPr="003966F8" w:rsidRDefault="00B34E8A" w:rsidP="00F97AAC">
            <w:pPr>
              <w:pStyle w:val="Informal2"/>
            </w:pPr>
            <w:r w:rsidRPr="003966F8">
              <w:t>Meeting Objectives</w:t>
            </w:r>
          </w:p>
        </w:tc>
        <w:tc>
          <w:tcPr>
            <w:tcW w:w="7729" w:type="dxa"/>
            <w:vAlign w:val="center"/>
          </w:tcPr>
          <w:p w14:paraId="60E9C444" w14:textId="327B77D2" w:rsidR="00B34E8A" w:rsidRPr="003966F8" w:rsidRDefault="00B34E8A" w:rsidP="003B0E2B">
            <w:pPr>
              <w:autoSpaceDE w:val="0"/>
              <w:autoSpaceDN w:val="0"/>
              <w:rPr>
                <w:rFonts w:ascii="Arial" w:hAnsi="Arial" w:cs="Arial"/>
                <w:sz w:val="24"/>
                <w:szCs w:val="24"/>
              </w:rPr>
            </w:pPr>
            <w:r w:rsidRPr="003966F8">
              <w:rPr>
                <w:rFonts w:ascii="Arial" w:hAnsi="Arial" w:cs="Arial"/>
                <w:sz w:val="24"/>
                <w:szCs w:val="24"/>
              </w:rPr>
              <w:t xml:space="preserve">Discuss student success and academic affairs topics in Colorado to advance </w:t>
            </w:r>
            <w:r w:rsidR="00FB6F51" w:rsidRPr="003966F8">
              <w:rPr>
                <w:rFonts w:ascii="Arial" w:hAnsi="Arial" w:cs="Arial"/>
                <w:sz w:val="24"/>
                <w:szCs w:val="24"/>
              </w:rPr>
              <w:t xml:space="preserve">transfer student </w:t>
            </w:r>
            <w:r w:rsidRPr="003966F8">
              <w:rPr>
                <w:rFonts w:ascii="Arial" w:hAnsi="Arial" w:cs="Arial"/>
                <w:sz w:val="24"/>
                <w:szCs w:val="24"/>
              </w:rPr>
              <w:t>practices and policies</w:t>
            </w:r>
          </w:p>
        </w:tc>
      </w:tr>
    </w:tbl>
    <w:p w14:paraId="05806FAF" w14:textId="78B22F78" w:rsidR="00F97AAC" w:rsidRPr="002B1B26" w:rsidRDefault="00F97AAC">
      <w:pPr>
        <w:rPr>
          <w:rFonts w:ascii="Arial" w:hAnsi="Arial" w:cs="Arial"/>
          <w:b/>
          <w:bCs/>
        </w:rPr>
      </w:pPr>
    </w:p>
    <w:p w14:paraId="2A4080FE" w14:textId="62F6D6A7" w:rsidR="00C42001"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r w:rsidR="00EF14DD">
        <w:rPr>
          <w:rFonts w:ascii="Arial" w:hAnsi="Arial" w:cs="Arial"/>
          <w:b/>
          <w:bCs/>
          <w:sz w:val="24"/>
        </w:rPr>
        <w:t xml:space="preserve"> – </w:t>
      </w:r>
      <w:r w:rsidR="00EF14DD" w:rsidRPr="003966F8">
        <w:rPr>
          <w:rFonts w:ascii="Arial" w:hAnsi="Arial" w:cs="Arial"/>
          <w:b/>
          <w:bCs/>
          <w:color w:val="FF0000"/>
          <w:sz w:val="24"/>
        </w:rPr>
        <w:t>NOTES</w:t>
      </w:r>
      <w:r w:rsidR="00EF14DD" w:rsidRPr="003966F8">
        <w:rPr>
          <w:rFonts w:ascii="Arial" w:hAnsi="Arial" w:cs="Arial"/>
          <w:b/>
          <w:bCs/>
          <w:sz w:val="24"/>
        </w:rPr>
        <w:t xml:space="preserve"> </w:t>
      </w:r>
    </w:p>
    <w:p w14:paraId="07F8A2D0" w14:textId="77777777" w:rsidR="00FE63FD" w:rsidRPr="002B1B26" w:rsidRDefault="00FE63FD" w:rsidP="00462771">
      <w:pPr>
        <w:rPr>
          <w:rFonts w:ascii="Arial" w:hAnsi="Arial" w:cs="Arial"/>
          <w:b/>
          <w:bCs/>
          <w:sz w:val="24"/>
          <w:szCs w:val="24"/>
        </w:rPr>
      </w:pPr>
    </w:p>
    <w:p w14:paraId="25706F7B" w14:textId="5442313F" w:rsidR="00B6223D" w:rsidRPr="002B1B26" w:rsidRDefault="00580476" w:rsidP="00B6223D">
      <w:pPr>
        <w:pStyle w:val="Informal2"/>
        <w:tabs>
          <w:tab w:val="right" w:pos="2160"/>
        </w:tabs>
      </w:pPr>
      <w:r>
        <w:t>1:00 pm</w:t>
      </w:r>
      <w:r w:rsidR="00B6223D" w:rsidRPr="002B1B26">
        <w:tab/>
      </w:r>
      <w:r w:rsidR="003F5387" w:rsidRPr="002B1B26">
        <w:tab/>
      </w:r>
      <w:r w:rsidR="00B6223D" w:rsidRPr="002B1B26">
        <w:t>Greetings</w:t>
      </w:r>
      <w:r w:rsidR="00460695">
        <w:t>, Introductions, and Approval of Meeting Minutes</w:t>
      </w:r>
    </w:p>
    <w:p w14:paraId="4650C081" w14:textId="71FC2084" w:rsidR="00D1696E"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79E59A72" w14:textId="03AFBB41" w:rsidR="001E6AD5" w:rsidRPr="001E6AD5" w:rsidRDefault="001E6AD5" w:rsidP="001E6AD5">
      <w:pPr>
        <w:pStyle w:val="Informal2"/>
        <w:tabs>
          <w:tab w:val="right" w:pos="2160"/>
        </w:tabs>
        <w:ind w:left="2880"/>
        <w:rPr>
          <w:b w:val="0"/>
          <w:bCs w:val="0"/>
          <w:color w:val="FF0000"/>
        </w:rPr>
      </w:pPr>
      <w:r w:rsidRPr="001E6AD5">
        <w:rPr>
          <w:b w:val="0"/>
          <w:bCs w:val="0"/>
          <w:color w:val="FF0000"/>
        </w:rPr>
        <w:t xml:space="preserve">The meeting opened with administrative items, including a review of the notes from the prior Transfer Subcommittee meeting. No corrections or questions were raised by committee members. Theresa Groff made a motion to approve the notes, which </w:t>
      </w:r>
      <w:proofErr w:type="gramStart"/>
      <w:r w:rsidRPr="001E6AD5">
        <w:rPr>
          <w:b w:val="0"/>
          <w:bCs w:val="0"/>
          <w:color w:val="FF0000"/>
        </w:rPr>
        <w:t>was</w:t>
      </w:r>
      <w:proofErr w:type="gramEnd"/>
      <w:r w:rsidRPr="001E6AD5">
        <w:rPr>
          <w:b w:val="0"/>
          <w:bCs w:val="0"/>
          <w:color w:val="FF0000"/>
        </w:rPr>
        <w:t xml:space="preserve"> seconded by</w:t>
      </w:r>
      <w:r>
        <w:rPr>
          <w:b w:val="0"/>
          <w:bCs w:val="0"/>
          <w:color w:val="FF0000"/>
        </w:rPr>
        <w:t xml:space="preserve"> Commissioner </w:t>
      </w:r>
      <w:r w:rsidRPr="001E6AD5">
        <w:rPr>
          <w:b w:val="0"/>
          <w:bCs w:val="0"/>
          <w:color w:val="FF0000"/>
        </w:rPr>
        <w:t>Walmer. There were no objections, and the motion passed unanimously.</w:t>
      </w: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F733B0D" w14:textId="772D0646" w:rsidR="00D1696E" w:rsidRPr="00D1696E" w:rsidRDefault="00580476" w:rsidP="00D1696E">
      <w:pPr>
        <w:pStyle w:val="Informal2"/>
        <w:tabs>
          <w:tab w:val="right" w:pos="2160"/>
        </w:tabs>
        <w:ind w:left="2880" w:hanging="2880"/>
      </w:pPr>
      <w:r>
        <w:t>1:05 pm</w:t>
      </w:r>
      <w:r w:rsidR="00B6223D" w:rsidRPr="002B1B26">
        <w:tab/>
      </w:r>
      <w:r w:rsidR="00B6223D" w:rsidRPr="002B1B26">
        <w:tab/>
      </w:r>
      <w:r w:rsidR="00FB2169">
        <w:t xml:space="preserve">Continued </w:t>
      </w:r>
      <w:r w:rsidR="00D1696E" w:rsidRPr="00D1696E">
        <w:t>Discuss</w:t>
      </w:r>
      <w:r w:rsidR="00FB2169">
        <w:t>ion of</w:t>
      </w:r>
      <w:r w:rsidR="00D1696E" w:rsidRPr="00D1696E">
        <w:t xml:space="preserve"> </w:t>
      </w:r>
      <w:r w:rsidR="00C42001">
        <w:t xml:space="preserve">Subcommittee </w:t>
      </w:r>
      <w:r w:rsidR="00D1696E" w:rsidRPr="00D1696E">
        <w:t>Vision, Purpose, and Problem Statement</w:t>
      </w:r>
      <w:r w:rsidR="00C42001">
        <w:t xml:space="preserve"> on Transfer</w:t>
      </w:r>
    </w:p>
    <w:p w14:paraId="5051BB5F" w14:textId="70785D37" w:rsidR="00D1696E" w:rsidRDefault="003523E6" w:rsidP="003523E6">
      <w:pPr>
        <w:pStyle w:val="Informal2"/>
        <w:tabs>
          <w:tab w:val="right" w:pos="2160"/>
        </w:tabs>
        <w:ind w:left="2880" w:hanging="2880"/>
        <w:rPr>
          <w:b w:val="0"/>
          <w:bCs w:val="0"/>
          <w:i/>
          <w:iCs/>
          <w:color w:val="4F6228" w:themeColor="accent3" w:themeShade="80"/>
        </w:rPr>
      </w:pPr>
      <w:r>
        <w:tab/>
      </w:r>
      <w:r>
        <w:tab/>
      </w:r>
      <w:r w:rsidR="00D1696E">
        <w:rPr>
          <w:b w:val="0"/>
          <w:bCs w:val="0"/>
          <w:i/>
          <w:iCs/>
          <w:color w:val="4F6228" w:themeColor="accent3" w:themeShade="80"/>
        </w:rPr>
        <w:t>Berrick Abramson, Subcommittee Chair</w:t>
      </w:r>
    </w:p>
    <w:p w14:paraId="2AF885FE" w14:textId="1E841CC7" w:rsidR="00812908" w:rsidRPr="00812908" w:rsidRDefault="00A922A3" w:rsidP="00812908">
      <w:pPr>
        <w:pStyle w:val="Informal2"/>
        <w:tabs>
          <w:tab w:val="right" w:pos="2160"/>
        </w:tabs>
        <w:ind w:left="2880" w:hanging="2880"/>
        <w:rPr>
          <w:b w:val="0"/>
          <w:bCs w:val="0"/>
          <w:color w:val="FF0000"/>
        </w:rPr>
      </w:pPr>
      <w:r>
        <w:rPr>
          <w:b w:val="0"/>
          <w:bCs w:val="0"/>
          <w:i/>
          <w:iCs/>
          <w:color w:val="4F6228" w:themeColor="accent3" w:themeShade="80"/>
        </w:rPr>
        <w:tab/>
      </w:r>
      <w:r w:rsidRPr="00812908">
        <w:rPr>
          <w:b w:val="0"/>
          <w:bCs w:val="0"/>
          <w:color w:val="FF0000"/>
        </w:rPr>
        <w:tab/>
      </w:r>
      <w:r w:rsidR="00812908" w:rsidRPr="00812908">
        <w:rPr>
          <w:b w:val="0"/>
          <w:bCs w:val="0"/>
          <w:color w:val="FF0000"/>
        </w:rPr>
        <w:t>Commissioner Abramson framed the continued discussion by situating the subcommittee’s work within broader statewide efforts to reimagine Colorado’s postsecondary and workforce development systems, including anticipated legislation creating a Transition Advisory Committee</w:t>
      </w:r>
      <w:r w:rsidR="00812908">
        <w:rPr>
          <w:b w:val="0"/>
          <w:bCs w:val="0"/>
          <w:color w:val="FF0000"/>
        </w:rPr>
        <w:t xml:space="preserve"> (TAC)</w:t>
      </w:r>
      <w:r w:rsidR="00812908" w:rsidRPr="00812908">
        <w:rPr>
          <w:b w:val="0"/>
          <w:bCs w:val="0"/>
          <w:color w:val="FF0000"/>
        </w:rPr>
        <w:t>. He emphasized that this subcommittee has an opportunity to influence that work by articulating a clear vision for how transfer, learning portability, and credit applicability should function in a student</w:t>
      </w:r>
      <w:r w:rsidR="00812908" w:rsidRPr="00812908">
        <w:rPr>
          <w:b w:val="0"/>
          <w:bCs w:val="0"/>
          <w:color w:val="FF0000"/>
        </w:rPr>
        <w:noBreakHyphen/>
        <w:t>centered system. The discussion reaffirmed that traditional credit transfer alone is insufficient; instead, the group is increasingly focused on credit mobility, including how learning acquired through multiple contexts</w:t>
      </w:r>
      <w:r w:rsidR="00812908">
        <w:rPr>
          <w:b w:val="0"/>
          <w:bCs w:val="0"/>
          <w:color w:val="FF0000"/>
        </w:rPr>
        <w:t xml:space="preserve"> </w:t>
      </w:r>
      <w:r w:rsidR="00812908" w:rsidRPr="00812908">
        <w:rPr>
          <w:b w:val="0"/>
          <w:bCs w:val="0"/>
          <w:color w:val="FF0000"/>
        </w:rPr>
        <w:t>—</w:t>
      </w:r>
      <w:r w:rsidR="00812908">
        <w:rPr>
          <w:b w:val="0"/>
          <w:bCs w:val="0"/>
          <w:color w:val="FF0000"/>
        </w:rPr>
        <w:t xml:space="preserve"> </w:t>
      </w:r>
      <w:r w:rsidR="00812908" w:rsidRPr="00812908">
        <w:rPr>
          <w:b w:val="0"/>
          <w:bCs w:val="0"/>
          <w:color w:val="FF0000"/>
        </w:rPr>
        <w:lastRenderedPageBreak/>
        <w:t>general education, workforce credentials, prior learning assessment (PLA), military experience, and work</w:t>
      </w:r>
      <w:r w:rsidR="00812908" w:rsidRPr="00812908">
        <w:rPr>
          <w:b w:val="0"/>
          <w:bCs w:val="0"/>
          <w:color w:val="FF0000"/>
        </w:rPr>
        <w:noBreakHyphen/>
        <w:t>based learning</w:t>
      </w:r>
      <w:r w:rsidR="00812908">
        <w:rPr>
          <w:b w:val="0"/>
          <w:bCs w:val="0"/>
          <w:color w:val="FF0000"/>
        </w:rPr>
        <w:t xml:space="preserve"> (WBL) </w:t>
      </w:r>
      <w:r w:rsidR="00812908" w:rsidRPr="00812908">
        <w:rPr>
          <w:b w:val="0"/>
          <w:bCs w:val="0"/>
          <w:color w:val="FF0000"/>
        </w:rPr>
        <w:t>—</w:t>
      </w:r>
      <w:r w:rsidR="00812908">
        <w:rPr>
          <w:b w:val="0"/>
          <w:bCs w:val="0"/>
          <w:color w:val="FF0000"/>
        </w:rPr>
        <w:t xml:space="preserve"> </w:t>
      </w:r>
      <w:r w:rsidR="00812908" w:rsidRPr="00812908">
        <w:rPr>
          <w:b w:val="0"/>
          <w:bCs w:val="0"/>
          <w:color w:val="FF0000"/>
        </w:rPr>
        <w:t>can be meaningfully recognized and applied toward credentials and degrees across a learner’s lifetime.</w:t>
      </w:r>
    </w:p>
    <w:p w14:paraId="4CDF2576" w14:textId="77777777" w:rsidR="00812908" w:rsidRDefault="00812908" w:rsidP="00812908">
      <w:pPr>
        <w:pStyle w:val="Informal2"/>
        <w:tabs>
          <w:tab w:val="right" w:pos="2160"/>
        </w:tabs>
        <w:ind w:left="2880" w:hanging="2880"/>
        <w:rPr>
          <w:b w:val="0"/>
          <w:bCs w:val="0"/>
          <w:color w:val="FF0000"/>
        </w:rPr>
      </w:pPr>
      <w:r>
        <w:rPr>
          <w:b w:val="0"/>
          <w:bCs w:val="0"/>
          <w:color w:val="FF0000"/>
        </w:rPr>
        <w:tab/>
      </w:r>
      <w:r>
        <w:rPr>
          <w:b w:val="0"/>
          <w:bCs w:val="0"/>
          <w:color w:val="FF0000"/>
        </w:rPr>
        <w:tab/>
      </w:r>
    </w:p>
    <w:p w14:paraId="1393DA92" w14:textId="77777777" w:rsidR="00812908" w:rsidRDefault="00812908" w:rsidP="00812908">
      <w:pPr>
        <w:pStyle w:val="Informal2"/>
        <w:tabs>
          <w:tab w:val="right" w:pos="2160"/>
        </w:tabs>
        <w:ind w:left="2880" w:hanging="2880"/>
        <w:rPr>
          <w:b w:val="0"/>
          <w:bCs w:val="0"/>
          <w:color w:val="FF0000"/>
        </w:rPr>
      </w:pPr>
      <w:r>
        <w:rPr>
          <w:b w:val="0"/>
          <w:bCs w:val="0"/>
          <w:color w:val="FF0000"/>
        </w:rPr>
        <w:tab/>
      </w:r>
      <w:r>
        <w:rPr>
          <w:b w:val="0"/>
          <w:bCs w:val="0"/>
          <w:color w:val="FF0000"/>
        </w:rPr>
        <w:tab/>
      </w:r>
      <w:r w:rsidRPr="00812908">
        <w:rPr>
          <w:b w:val="0"/>
          <w:bCs w:val="0"/>
          <w:color w:val="FF0000"/>
        </w:rPr>
        <w:t>Building on reflections from the prior meeting, members discussed aspirations for a system that is transparent, flexible, and navigable for learners of all ages, while acknowledging significant barriers to achieving that vision. Key barriers identified included institutional and curriculum policies, limited faculty and staff capacity to evaluate learning and credentials, lack of consistency across institutions, system complexity, and the disproportionate burden placed on students to understand and navigate transfer processes. Members noted that while many structures and policies exist statewide, complexity itself often becomes a barrier for both students and advisors, particularly when solutions rely on case</w:t>
      </w:r>
      <w:r w:rsidRPr="00812908">
        <w:rPr>
          <w:b w:val="0"/>
          <w:bCs w:val="0"/>
          <w:color w:val="FF0000"/>
        </w:rPr>
        <w:noBreakHyphen/>
        <w:t>by</w:t>
      </w:r>
      <w:r w:rsidRPr="00812908">
        <w:rPr>
          <w:b w:val="0"/>
          <w:bCs w:val="0"/>
          <w:color w:val="FF0000"/>
        </w:rPr>
        <w:noBreakHyphen/>
        <w:t>case exceptions or localized knowledge.</w:t>
      </w:r>
    </w:p>
    <w:p w14:paraId="447FD555" w14:textId="77777777" w:rsidR="00812908" w:rsidRDefault="00812908" w:rsidP="00812908">
      <w:pPr>
        <w:pStyle w:val="Informal2"/>
        <w:tabs>
          <w:tab w:val="right" w:pos="2160"/>
        </w:tabs>
        <w:ind w:left="2880" w:hanging="2880"/>
        <w:rPr>
          <w:b w:val="0"/>
          <w:bCs w:val="0"/>
          <w:color w:val="FF0000"/>
        </w:rPr>
      </w:pPr>
    </w:p>
    <w:p w14:paraId="64CEEE8B" w14:textId="62C8C9D5" w:rsidR="00812908" w:rsidRDefault="00812908" w:rsidP="00812908">
      <w:pPr>
        <w:pStyle w:val="Informal2"/>
        <w:tabs>
          <w:tab w:val="right" w:pos="2160"/>
        </w:tabs>
        <w:ind w:left="2880" w:hanging="2880"/>
        <w:rPr>
          <w:b w:val="0"/>
          <w:bCs w:val="0"/>
          <w:color w:val="FF0000"/>
        </w:rPr>
      </w:pPr>
      <w:r>
        <w:rPr>
          <w:b w:val="0"/>
          <w:bCs w:val="0"/>
          <w:color w:val="FF0000"/>
        </w:rPr>
        <w:tab/>
      </w:r>
      <w:r>
        <w:rPr>
          <w:b w:val="0"/>
          <w:bCs w:val="0"/>
          <w:color w:val="FF0000"/>
        </w:rPr>
        <w:tab/>
      </w:r>
      <w:r w:rsidRPr="00812908">
        <w:rPr>
          <w:b w:val="0"/>
          <w:bCs w:val="0"/>
          <w:color w:val="FF0000"/>
        </w:rPr>
        <w:t>Several members highlighted challenges related to prior learning assessment and workforce credentials, noting that while institutions may award credit through portfolios, challenge exams, or industry certifications, these processes vary widely and are often difficult for students to understand or transfer between institutions. There was broad interest in greater consistency</w:t>
      </w:r>
      <w:r w:rsidR="00FF6A15">
        <w:rPr>
          <w:b w:val="0"/>
          <w:bCs w:val="0"/>
          <w:color w:val="FF0000"/>
        </w:rPr>
        <w:t xml:space="preserve"> </w:t>
      </w:r>
      <w:r w:rsidRPr="00812908">
        <w:rPr>
          <w:b w:val="0"/>
          <w:bCs w:val="0"/>
          <w:color w:val="FF0000"/>
        </w:rPr>
        <w:t>—</w:t>
      </w:r>
      <w:r w:rsidR="00FF6A15">
        <w:rPr>
          <w:b w:val="0"/>
          <w:bCs w:val="0"/>
          <w:color w:val="FF0000"/>
        </w:rPr>
        <w:t xml:space="preserve"> </w:t>
      </w:r>
      <w:r w:rsidRPr="00812908">
        <w:rPr>
          <w:b w:val="0"/>
          <w:bCs w:val="0"/>
          <w:color w:val="FF0000"/>
        </w:rPr>
        <w:t>such as shared rubrics, expectations, or guidance for PLA</w:t>
      </w:r>
      <w:r w:rsidR="00FF6A15">
        <w:rPr>
          <w:b w:val="0"/>
          <w:bCs w:val="0"/>
          <w:color w:val="FF0000"/>
        </w:rPr>
        <w:t xml:space="preserve"> </w:t>
      </w:r>
      <w:r w:rsidRPr="00812908">
        <w:rPr>
          <w:b w:val="0"/>
          <w:bCs w:val="0"/>
          <w:color w:val="FF0000"/>
        </w:rPr>
        <w:t>—</w:t>
      </w:r>
      <w:r w:rsidR="00FF6A15">
        <w:rPr>
          <w:b w:val="0"/>
          <w:bCs w:val="0"/>
          <w:color w:val="FF0000"/>
        </w:rPr>
        <w:t xml:space="preserve"> </w:t>
      </w:r>
      <w:r w:rsidRPr="00812908">
        <w:rPr>
          <w:b w:val="0"/>
          <w:bCs w:val="0"/>
          <w:color w:val="FF0000"/>
        </w:rPr>
        <w:t>while recognizing resource constraints and faculty workload concerns. Participants also emphasized that learning and credentials that fall outside GT Pathways and Statewide Transfer Articulation Agreements</w:t>
      </w:r>
      <w:r w:rsidR="00FF6A15">
        <w:rPr>
          <w:b w:val="0"/>
          <w:bCs w:val="0"/>
          <w:color w:val="FF0000"/>
        </w:rPr>
        <w:t xml:space="preserve"> (STAAs)</w:t>
      </w:r>
      <w:r w:rsidRPr="00812908">
        <w:rPr>
          <w:b w:val="0"/>
          <w:bCs w:val="0"/>
          <w:color w:val="FF0000"/>
        </w:rPr>
        <w:t xml:space="preserve"> lack a clear statewide framework, creating gaps for students whose experiences do not align neatly with existing structures.</w:t>
      </w:r>
    </w:p>
    <w:p w14:paraId="7769859B" w14:textId="77777777" w:rsidR="00812908" w:rsidRDefault="00812908" w:rsidP="00812908">
      <w:pPr>
        <w:pStyle w:val="Informal2"/>
        <w:tabs>
          <w:tab w:val="right" w:pos="2160"/>
        </w:tabs>
        <w:ind w:left="2880" w:hanging="2880"/>
        <w:rPr>
          <w:b w:val="0"/>
          <w:bCs w:val="0"/>
          <w:color w:val="FF0000"/>
        </w:rPr>
      </w:pPr>
    </w:p>
    <w:p w14:paraId="35EA8662" w14:textId="553EC22D" w:rsidR="00812908" w:rsidRDefault="00812908" w:rsidP="00812908">
      <w:pPr>
        <w:pStyle w:val="Informal2"/>
        <w:tabs>
          <w:tab w:val="right" w:pos="2160"/>
        </w:tabs>
        <w:ind w:left="2880" w:hanging="2880"/>
        <w:rPr>
          <w:b w:val="0"/>
          <w:bCs w:val="0"/>
          <w:color w:val="FF0000"/>
        </w:rPr>
      </w:pPr>
      <w:r>
        <w:rPr>
          <w:b w:val="0"/>
          <w:bCs w:val="0"/>
          <w:color w:val="FF0000"/>
        </w:rPr>
        <w:tab/>
      </w:r>
      <w:r>
        <w:rPr>
          <w:b w:val="0"/>
          <w:bCs w:val="0"/>
          <w:color w:val="FF0000"/>
        </w:rPr>
        <w:tab/>
      </w:r>
      <w:r w:rsidRPr="00812908">
        <w:rPr>
          <w:b w:val="0"/>
          <w:bCs w:val="0"/>
          <w:color w:val="FF0000"/>
        </w:rPr>
        <w:t xml:space="preserve">The discussion intentionally incorporated learner and practitioner perspectives, emphasizing that students should not be expected to understand institutional terminology, flags, or policy distinctions to succeed. Members underscored that uncertainty about whether learning will “count” often leads students to make ad hoc decisions, particularly when they change majors, transfer institutions, or return to education after time in the workforce. Advising emerged as a </w:t>
      </w:r>
      <w:r w:rsidRPr="00812908">
        <w:rPr>
          <w:b w:val="0"/>
          <w:bCs w:val="0"/>
          <w:color w:val="FF0000"/>
        </w:rPr>
        <w:lastRenderedPageBreak/>
        <w:t>central theme throughout the conversation, with strong agreement that effective navigation support</w:t>
      </w:r>
      <w:r w:rsidR="00FF6A15">
        <w:rPr>
          <w:b w:val="0"/>
          <w:bCs w:val="0"/>
          <w:color w:val="FF0000"/>
        </w:rPr>
        <w:t xml:space="preserve"> </w:t>
      </w:r>
      <w:r w:rsidRPr="00812908">
        <w:rPr>
          <w:b w:val="0"/>
          <w:bCs w:val="0"/>
          <w:color w:val="FF0000"/>
        </w:rPr>
        <w:t>—</w:t>
      </w:r>
      <w:r w:rsidR="00FF6A15">
        <w:rPr>
          <w:b w:val="0"/>
          <w:bCs w:val="0"/>
          <w:color w:val="FF0000"/>
        </w:rPr>
        <w:t xml:space="preserve"> </w:t>
      </w:r>
      <w:r w:rsidRPr="00812908">
        <w:rPr>
          <w:b w:val="0"/>
          <w:bCs w:val="0"/>
          <w:color w:val="FF0000"/>
        </w:rPr>
        <w:t>especially at points of transition</w:t>
      </w:r>
      <w:r w:rsidR="00FF6A15">
        <w:rPr>
          <w:b w:val="0"/>
          <w:bCs w:val="0"/>
          <w:color w:val="FF0000"/>
        </w:rPr>
        <w:t xml:space="preserve"> </w:t>
      </w:r>
      <w:r w:rsidRPr="00812908">
        <w:rPr>
          <w:b w:val="0"/>
          <w:bCs w:val="0"/>
          <w:color w:val="FF0000"/>
        </w:rPr>
        <w:t>—</w:t>
      </w:r>
      <w:r w:rsidR="00FF6A15">
        <w:rPr>
          <w:b w:val="0"/>
          <w:bCs w:val="0"/>
          <w:color w:val="FF0000"/>
        </w:rPr>
        <w:t xml:space="preserve"> </w:t>
      </w:r>
      <w:r w:rsidRPr="00812908">
        <w:rPr>
          <w:b w:val="0"/>
          <w:bCs w:val="0"/>
          <w:color w:val="FF0000"/>
        </w:rPr>
        <w:t>is critical to student success. Members noted that while technology and tools can help improve transparency and planning, they must complement, not replace, advising, and that advising for transfer must be treated as a sustained institutional priority rather than a reactive response during crises.</w:t>
      </w:r>
    </w:p>
    <w:p w14:paraId="7E1E4060" w14:textId="77777777" w:rsidR="00812908" w:rsidRDefault="00812908" w:rsidP="00812908">
      <w:pPr>
        <w:pStyle w:val="Informal2"/>
        <w:tabs>
          <w:tab w:val="right" w:pos="2160"/>
        </w:tabs>
        <w:ind w:left="2880" w:hanging="2880"/>
        <w:rPr>
          <w:b w:val="0"/>
          <w:bCs w:val="0"/>
          <w:color w:val="FF0000"/>
        </w:rPr>
      </w:pPr>
    </w:p>
    <w:p w14:paraId="2D4D935B" w14:textId="1EE05D20" w:rsidR="00812908" w:rsidRPr="00812908" w:rsidRDefault="00812908" w:rsidP="00812908">
      <w:pPr>
        <w:pStyle w:val="Informal2"/>
        <w:tabs>
          <w:tab w:val="right" w:pos="2160"/>
        </w:tabs>
        <w:ind w:left="2880" w:hanging="2880"/>
        <w:rPr>
          <w:b w:val="0"/>
          <w:bCs w:val="0"/>
          <w:color w:val="FF0000"/>
        </w:rPr>
      </w:pPr>
      <w:r>
        <w:rPr>
          <w:b w:val="0"/>
          <w:bCs w:val="0"/>
          <w:color w:val="FF0000"/>
        </w:rPr>
        <w:tab/>
      </w:r>
      <w:r>
        <w:rPr>
          <w:b w:val="0"/>
          <w:bCs w:val="0"/>
          <w:color w:val="FF0000"/>
        </w:rPr>
        <w:tab/>
      </w:r>
      <w:r w:rsidRPr="00812908">
        <w:rPr>
          <w:b w:val="0"/>
          <w:bCs w:val="0"/>
          <w:color w:val="FF0000"/>
        </w:rPr>
        <w:t>Commissioner Abramson closed this portion of the discussion by emphasizing that the subcommittee will continue to pair aspirational thinking with practical considerations in future meetings. He encouraged members to remain focused on designing systems that are intuitive and learner</w:t>
      </w:r>
      <w:r w:rsidRPr="00812908">
        <w:rPr>
          <w:b w:val="0"/>
          <w:bCs w:val="0"/>
          <w:color w:val="FF0000"/>
        </w:rPr>
        <w:noBreakHyphen/>
        <w:t>centered, rather than optimized for institutional convenience, and to think creatively about solutions that improve navigation and credit mobility within existing resource constraints.</w:t>
      </w:r>
    </w:p>
    <w:p w14:paraId="4F9EF90A" w14:textId="77777777" w:rsidR="00812908" w:rsidRDefault="00812908" w:rsidP="00812908">
      <w:pPr>
        <w:pStyle w:val="Informal2"/>
        <w:tabs>
          <w:tab w:val="right" w:pos="2160"/>
        </w:tabs>
        <w:ind w:left="2880" w:hanging="2880"/>
        <w:rPr>
          <w:b w:val="0"/>
          <w:bCs w:val="0"/>
          <w:color w:val="FF0000"/>
        </w:rPr>
      </w:pPr>
    </w:p>
    <w:p w14:paraId="26397A1F" w14:textId="77777777" w:rsidR="00812908" w:rsidRPr="006F5502" w:rsidRDefault="00812908" w:rsidP="00812908">
      <w:pPr>
        <w:pStyle w:val="Informal2"/>
        <w:tabs>
          <w:tab w:val="right" w:pos="2160"/>
        </w:tabs>
        <w:ind w:left="2880" w:hanging="2880"/>
        <w:rPr>
          <w:color w:val="FF0000"/>
        </w:rPr>
      </w:pPr>
      <w:r>
        <w:rPr>
          <w:b w:val="0"/>
          <w:bCs w:val="0"/>
          <w:color w:val="FF0000"/>
        </w:rPr>
        <w:tab/>
      </w:r>
      <w:r>
        <w:rPr>
          <w:b w:val="0"/>
          <w:bCs w:val="0"/>
          <w:color w:val="FF0000"/>
        </w:rPr>
        <w:tab/>
      </w:r>
      <w:r w:rsidRPr="00812908">
        <w:rPr>
          <w:color w:val="FF0000"/>
        </w:rPr>
        <w:t>Action Items and Next Steps:</w:t>
      </w:r>
    </w:p>
    <w:p w14:paraId="24903DAB" w14:textId="208ACF31" w:rsidR="00812908" w:rsidRDefault="00812908" w:rsidP="00812908">
      <w:pPr>
        <w:pStyle w:val="Informal2"/>
        <w:numPr>
          <w:ilvl w:val="4"/>
          <w:numId w:val="16"/>
        </w:numPr>
        <w:tabs>
          <w:tab w:val="right" w:pos="2160"/>
        </w:tabs>
        <w:rPr>
          <w:b w:val="0"/>
          <w:bCs w:val="0"/>
          <w:color w:val="FF0000"/>
        </w:rPr>
      </w:pPr>
      <w:r w:rsidRPr="00812908">
        <w:rPr>
          <w:b w:val="0"/>
          <w:bCs w:val="0"/>
          <w:color w:val="FF0000"/>
        </w:rPr>
        <w:t>Subcommittee will continue refining an aspirational vision for transfer and credit mobility and explicitly connect that vision to identified barriers.</w:t>
      </w:r>
    </w:p>
    <w:p w14:paraId="099BE9D9" w14:textId="083B5D73" w:rsidR="00812908" w:rsidRDefault="00812908" w:rsidP="00812908">
      <w:pPr>
        <w:pStyle w:val="Informal2"/>
        <w:numPr>
          <w:ilvl w:val="4"/>
          <w:numId w:val="16"/>
        </w:numPr>
        <w:tabs>
          <w:tab w:val="right" w:pos="2160"/>
        </w:tabs>
        <w:rPr>
          <w:b w:val="0"/>
          <w:bCs w:val="0"/>
          <w:color w:val="FF0000"/>
        </w:rPr>
      </w:pPr>
      <w:r w:rsidRPr="00812908">
        <w:rPr>
          <w:b w:val="0"/>
          <w:bCs w:val="0"/>
          <w:color w:val="FF0000"/>
        </w:rPr>
        <w:t>Members are asked to reflect on barriers and potential solutions ahead of the next meeting, particularly those that improve navigability and learning portability without requiring significant new resources.</w:t>
      </w:r>
    </w:p>
    <w:p w14:paraId="7EDDFA09" w14:textId="687CC5AA" w:rsidR="00812908" w:rsidRDefault="00812908" w:rsidP="00812908">
      <w:pPr>
        <w:pStyle w:val="Informal2"/>
        <w:numPr>
          <w:ilvl w:val="4"/>
          <w:numId w:val="16"/>
        </w:numPr>
        <w:tabs>
          <w:tab w:val="right" w:pos="2160"/>
        </w:tabs>
        <w:rPr>
          <w:b w:val="0"/>
          <w:bCs w:val="0"/>
          <w:color w:val="FF0000"/>
        </w:rPr>
      </w:pPr>
      <w:r w:rsidRPr="00812908">
        <w:rPr>
          <w:b w:val="0"/>
          <w:bCs w:val="0"/>
          <w:color w:val="FF0000"/>
        </w:rPr>
        <w:t>CDHE staff will work toward developing a draft vision statement that can be discussed, refined, and potentially elevated to CCHE leadership and the forthcoming Transition Advisory Committee.</w:t>
      </w:r>
    </w:p>
    <w:p w14:paraId="07FB9AD5" w14:textId="15B7F024" w:rsidR="00812908" w:rsidRDefault="00812908" w:rsidP="00812908">
      <w:pPr>
        <w:pStyle w:val="Informal2"/>
        <w:numPr>
          <w:ilvl w:val="4"/>
          <w:numId w:val="16"/>
        </w:numPr>
        <w:tabs>
          <w:tab w:val="right" w:pos="2160"/>
        </w:tabs>
        <w:rPr>
          <w:b w:val="0"/>
          <w:bCs w:val="0"/>
          <w:color w:val="FF0000"/>
        </w:rPr>
      </w:pPr>
      <w:r w:rsidRPr="00812908">
        <w:rPr>
          <w:b w:val="0"/>
          <w:bCs w:val="0"/>
          <w:color w:val="FF0000"/>
        </w:rPr>
        <w:t>Members are encouraged to consider and differentiate actions that can be taken at the institutional level, actions requiring department or commission leadership, and recommendations appropriate for statewide or legislative consideration.</w:t>
      </w:r>
    </w:p>
    <w:p w14:paraId="7A1F53E8" w14:textId="42A8675C" w:rsidR="00A922A3" w:rsidRPr="00812908" w:rsidRDefault="00812908" w:rsidP="00812908">
      <w:pPr>
        <w:pStyle w:val="Informal2"/>
        <w:numPr>
          <w:ilvl w:val="4"/>
          <w:numId w:val="16"/>
        </w:numPr>
        <w:tabs>
          <w:tab w:val="right" w:pos="2160"/>
        </w:tabs>
        <w:rPr>
          <w:b w:val="0"/>
          <w:bCs w:val="0"/>
          <w:color w:val="FF0000"/>
        </w:rPr>
      </w:pPr>
      <w:r w:rsidRPr="00812908">
        <w:rPr>
          <w:b w:val="0"/>
          <w:bCs w:val="0"/>
          <w:color w:val="FF0000"/>
        </w:rPr>
        <w:t xml:space="preserve">Advising and navigation supports will remain a central lens in future discussions, including how systems, policies, and </w:t>
      </w:r>
      <w:r w:rsidRPr="00812908">
        <w:rPr>
          <w:b w:val="0"/>
          <w:bCs w:val="0"/>
          <w:color w:val="FF0000"/>
        </w:rPr>
        <w:lastRenderedPageBreak/>
        <w:t>tools can better support learners without increasing complexity.</w:t>
      </w: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7F144047" w14:textId="45C1E574" w:rsidR="00A92EEA" w:rsidRDefault="00580476" w:rsidP="003523E6">
      <w:pPr>
        <w:pStyle w:val="Informal2"/>
        <w:tabs>
          <w:tab w:val="right" w:pos="2160"/>
        </w:tabs>
        <w:ind w:left="2880" w:hanging="2880"/>
      </w:pPr>
      <w:bookmarkStart w:id="2" w:name="_Hlk93390637"/>
      <w:r>
        <w:t>1:35 pm</w:t>
      </w:r>
      <w:r w:rsidR="00A92EEA">
        <w:tab/>
      </w:r>
      <w:r w:rsidR="00A92EEA">
        <w:tab/>
      </w:r>
      <w:r w:rsidR="00FB2169">
        <w:t xml:space="preserve">Tasseled Transfer </w:t>
      </w:r>
      <w:r w:rsidR="00252DB7">
        <w:t>Technology</w:t>
      </w:r>
      <w:r w:rsidR="00FB2169">
        <w:t xml:space="preserve"> Presentation with Q&amp;A</w:t>
      </w:r>
    </w:p>
    <w:p w14:paraId="66F14E09" w14:textId="3855B3E1" w:rsidR="00D1696E" w:rsidRDefault="00A92EEA" w:rsidP="00A92EEA">
      <w:pPr>
        <w:pStyle w:val="Informal2"/>
        <w:tabs>
          <w:tab w:val="right" w:pos="2160"/>
        </w:tabs>
        <w:ind w:left="2880" w:hanging="2880"/>
        <w:rPr>
          <w:b w:val="0"/>
          <w:bCs w:val="0"/>
          <w:i/>
          <w:iCs/>
          <w:color w:val="4F6228" w:themeColor="accent3" w:themeShade="80"/>
        </w:rPr>
      </w:pPr>
      <w:r>
        <w:tab/>
      </w:r>
      <w:r>
        <w:tab/>
      </w:r>
      <w:r w:rsidR="00FB2169">
        <w:rPr>
          <w:b w:val="0"/>
          <w:bCs w:val="0"/>
          <w:i/>
          <w:iCs/>
          <w:color w:val="4F6228" w:themeColor="accent3" w:themeShade="80"/>
        </w:rPr>
        <w:t>Vipul Patel, Founder and CEO of Tasseled</w:t>
      </w:r>
    </w:p>
    <w:p w14:paraId="54033953" w14:textId="08706106" w:rsidR="005B4872" w:rsidRDefault="005B4872" w:rsidP="005B4872">
      <w:pPr>
        <w:pStyle w:val="Informal2"/>
        <w:tabs>
          <w:tab w:val="right" w:pos="2160"/>
        </w:tabs>
        <w:ind w:left="2880" w:hanging="2880"/>
        <w:rPr>
          <w:b w:val="0"/>
          <w:bCs w:val="0"/>
          <w:color w:val="FF0000"/>
        </w:rPr>
      </w:pPr>
      <w:r w:rsidRPr="005B4872">
        <w:rPr>
          <w:b w:val="0"/>
          <w:bCs w:val="0"/>
          <w:color w:val="FF0000"/>
        </w:rPr>
        <w:tab/>
      </w:r>
      <w:r w:rsidRPr="005B4872">
        <w:rPr>
          <w:b w:val="0"/>
          <w:bCs w:val="0"/>
          <w:color w:val="FF0000"/>
        </w:rPr>
        <w:tab/>
        <w:t xml:space="preserve">Vipul Patel, founder of Tasseled, presented a demonstration of a technology platform designed to help students visualize transfer pathways, degree applicability, timelines, and estimated costs. </w:t>
      </w:r>
      <w:r>
        <w:rPr>
          <w:b w:val="0"/>
          <w:bCs w:val="0"/>
          <w:color w:val="FF0000"/>
        </w:rPr>
        <w:t xml:space="preserve">He </w:t>
      </w:r>
      <w:r w:rsidRPr="005B4872">
        <w:rPr>
          <w:b w:val="0"/>
          <w:bCs w:val="0"/>
          <w:color w:val="FF0000"/>
        </w:rPr>
        <w:t xml:space="preserve">shared the platform’s origin story as a response to his own transfer credit loss and described its use of publicly available institutional data (catalogs, degree requirements, transfer </w:t>
      </w:r>
      <w:proofErr w:type="gramStart"/>
      <w:r w:rsidRPr="005B4872">
        <w:rPr>
          <w:b w:val="0"/>
          <w:bCs w:val="0"/>
          <w:color w:val="FF0000"/>
        </w:rPr>
        <w:t>equivalencies</w:t>
      </w:r>
      <w:proofErr w:type="gramEnd"/>
      <w:r w:rsidRPr="005B4872">
        <w:rPr>
          <w:b w:val="0"/>
          <w:bCs w:val="0"/>
          <w:color w:val="FF0000"/>
        </w:rPr>
        <w:t>, statewide agreements) to generate student-facing plans.</w:t>
      </w:r>
    </w:p>
    <w:p w14:paraId="16F4187C" w14:textId="77777777" w:rsidR="005B4872" w:rsidRDefault="005B4872" w:rsidP="005B4872">
      <w:pPr>
        <w:pStyle w:val="Informal2"/>
        <w:tabs>
          <w:tab w:val="right" w:pos="2160"/>
        </w:tabs>
        <w:ind w:left="2880" w:hanging="2880"/>
        <w:rPr>
          <w:b w:val="0"/>
          <w:bCs w:val="0"/>
          <w:color w:val="FF0000"/>
        </w:rPr>
      </w:pPr>
    </w:p>
    <w:p w14:paraId="2A51E899" w14:textId="26662EA6" w:rsidR="005B4872" w:rsidRPr="005B4872" w:rsidRDefault="005B4872" w:rsidP="005B4872">
      <w:pPr>
        <w:pStyle w:val="Informal2"/>
        <w:tabs>
          <w:tab w:val="right" w:pos="2160"/>
        </w:tabs>
        <w:ind w:left="2880" w:hanging="2880"/>
        <w:rPr>
          <w:b w:val="0"/>
          <w:bCs w:val="0"/>
          <w:color w:val="FF0000"/>
        </w:rPr>
      </w:pPr>
      <w:r>
        <w:rPr>
          <w:b w:val="0"/>
          <w:bCs w:val="0"/>
          <w:color w:val="FF0000"/>
        </w:rPr>
        <w:tab/>
      </w:r>
      <w:r>
        <w:rPr>
          <w:b w:val="0"/>
          <w:bCs w:val="0"/>
          <w:color w:val="FF0000"/>
        </w:rPr>
        <w:tab/>
      </w:r>
      <w:r w:rsidRPr="005B4872">
        <w:rPr>
          <w:b w:val="0"/>
          <w:bCs w:val="0"/>
          <w:color w:val="FF0000"/>
        </w:rPr>
        <w:t xml:space="preserve">Committee members raised questions related to data accuracy, institutional verification, tuition modeling (including differential tuition and fee structures), and applicability across states. </w:t>
      </w:r>
      <w:r>
        <w:rPr>
          <w:b w:val="0"/>
          <w:bCs w:val="0"/>
          <w:color w:val="FF0000"/>
        </w:rPr>
        <w:t>Vipu</w:t>
      </w:r>
      <w:r w:rsidRPr="005B4872">
        <w:rPr>
          <w:b w:val="0"/>
          <w:bCs w:val="0"/>
          <w:color w:val="FF0000"/>
        </w:rPr>
        <w:t>l responded that data are sourced directly from institutional materials, cleaned and verified internally, and that the platform intentionally errs on the conservative side when estimating cost savings.</w:t>
      </w:r>
    </w:p>
    <w:p w14:paraId="2355029C" w14:textId="2179D483" w:rsidR="005B4872" w:rsidRPr="005B4872" w:rsidRDefault="005B4872" w:rsidP="005B4872">
      <w:pPr>
        <w:pStyle w:val="Informal2"/>
        <w:tabs>
          <w:tab w:val="right" w:pos="2160"/>
        </w:tabs>
        <w:ind w:left="2880" w:hanging="2880"/>
        <w:rPr>
          <w:b w:val="0"/>
          <w:bCs w:val="0"/>
          <w:color w:val="FF0000"/>
        </w:rPr>
      </w:pPr>
      <w:r w:rsidRPr="005B4872">
        <w:rPr>
          <w:b w:val="0"/>
          <w:bCs w:val="0"/>
          <w:color w:val="FF0000"/>
        </w:rPr>
        <w:br/>
      </w:r>
      <w:r>
        <w:rPr>
          <w:b w:val="0"/>
          <w:bCs w:val="0"/>
          <w:color w:val="FF0000"/>
        </w:rPr>
        <w:t>DHE staff</w:t>
      </w:r>
      <w:r w:rsidRPr="005B4872">
        <w:rPr>
          <w:b w:val="0"/>
          <w:bCs w:val="0"/>
          <w:color w:val="FF0000"/>
        </w:rPr>
        <w:t xml:space="preserve"> noted that AI-enabled tools could offer a lower-cost, lower-lift way to enhance statewide transfer transparency, particularly if framed as advising and planning guidance rather than an authoritative source of record.</w:t>
      </w:r>
    </w:p>
    <w:p w14:paraId="606CC366" w14:textId="77777777" w:rsidR="005B4872" w:rsidRDefault="005B4872" w:rsidP="005B4872">
      <w:pPr>
        <w:pStyle w:val="Informal2"/>
        <w:tabs>
          <w:tab w:val="right" w:pos="2160"/>
        </w:tabs>
        <w:ind w:left="2880" w:hanging="2880"/>
        <w:rPr>
          <w:b w:val="0"/>
          <w:bCs w:val="0"/>
          <w:color w:val="FF0000"/>
        </w:rPr>
      </w:pPr>
      <w:r>
        <w:rPr>
          <w:b w:val="0"/>
          <w:bCs w:val="0"/>
          <w:color w:val="FF0000"/>
        </w:rPr>
        <w:tab/>
      </w:r>
      <w:r>
        <w:rPr>
          <w:b w:val="0"/>
          <w:bCs w:val="0"/>
          <w:color w:val="FF0000"/>
        </w:rPr>
        <w:tab/>
      </w:r>
    </w:p>
    <w:p w14:paraId="6C7B3DCE" w14:textId="77777777" w:rsidR="005B4872" w:rsidRPr="006F5502" w:rsidRDefault="005B4872" w:rsidP="005B4872">
      <w:pPr>
        <w:pStyle w:val="Informal2"/>
        <w:tabs>
          <w:tab w:val="right" w:pos="2160"/>
        </w:tabs>
        <w:ind w:left="2880" w:hanging="2880"/>
        <w:rPr>
          <w:color w:val="FF0000"/>
        </w:rPr>
      </w:pPr>
      <w:r>
        <w:rPr>
          <w:b w:val="0"/>
          <w:bCs w:val="0"/>
          <w:color w:val="FF0000"/>
        </w:rPr>
        <w:tab/>
      </w:r>
      <w:r>
        <w:rPr>
          <w:b w:val="0"/>
          <w:bCs w:val="0"/>
          <w:color w:val="FF0000"/>
        </w:rPr>
        <w:tab/>
      </w:r>
      <w:r w:rsidRPr="005B4872">
        <w:rPr>
          <w:color w:val="FF0000"/>
        </w:rPr>
        <w:t>Next Steps:</w:t>
      </w:r>
    </w:p>
    <w:p w14:paraId="13BC05BD" w14:textId="2C6BE6C0" w:rsidR="005B4872" w:rsidRDefault="005B4872" w:rsidP="005B4872">
      <w:pPr>
        <w:pStyle w:val="Informal2"/>
        <w:numPr>
          <w:ilvl w:val="4"/>
          <w:numId w:val="9"/>
        </w:numPr>
        <w:tabs>
          <w:tab w:val="right" w:pos="2160"/>
        </w:tabs>
        <w:rPr>
          <w:b w:val="0"/>
          <w:bCs w:val="0"/>
          <w:color w:val="FF0000"/>
        </w:rPr>
      </w:pPr>
      <w:r w:rsidRPr="005B4872">
        <w:rPr>
          <w:b w:val="0"/>
          <w:bCs w:val="0"/>
          <w:color w:val="FF0000"/>
        </w:rPr>
        <w:t xml:space="preserve">CDHE </w:t>
      </w:r>
      <w:proofErr w:type="gramStart"/>
      <w:r w:rsidRPr="005B4872">
        <w:rPr>
          <w:b w:val="0"/>
          <w:bCs w:val="0"/>
          <w:color w:val="FF0000"/>
        </w:rPr>
        <w:t>staff to</w:t>
      </w:r>
      <w:proofErr w:type="gramEnd"/>
      <w:r w:rsidRPr="005B4872">
        <w:rPr>
          <w:b w:val="0"/>
          <w:bCs w:val="0"/>
          <w:color w:val="FF0000"/>
        </w:rPr>
        <w:t xml:space="preserve"> continue evaluating how emerging technology tools could inform the future Colorado Transfer </w:t>
      </w:r>
      <w:r>
        <w:rPr>
          <w:b w:val="0"/>
          <w:bCs w:val="0"/>
          <w:color w:val="FF0000"/>
        </w:rPr>
        <w:t>p</w:t>
      </w:r>
      <w:r w:rsidRPr="005B4872">
        <w:rPr>
          <w:b w:val="0"/>
          <w:bCs w:val="0"/>
          <w:color w:val="FF0000"/>
        </w:rPr>
        <w:t>latform and advising infrastructure.</w:t>
      </w:r>
    </w:p>
    <w:p w14:paraId="6876231E" w14:textId="58167A57" w:rsidR="005B4872" w:rsidRPr="001E6AD5" w:rsidRDefault="005B4872" w:rsidP="001E6AD5">
      <w:pPr>
        <w:pStyle w:val="Informal2"/>
        <w:numPr>
          <w:ilvl w:val="4"/>
          <w:numId w:val="9"/>
        </w:numPr>
        <w:tabs>
          <w:tab w:val="right" w:pos="2160"/>
        </w:tabs>
        <w:rPr>
          <w:b w:val="0"/>
          <w:bCs w:val="0"/>
          <w:color w:val="FF0000"/>
        </w:rPr>
      </w:pPr>
      <w:r w:rsidRPr="005B4872">
        <w:rPr>
          <w:b w:val="0"/>
          <w:bCs w:val="0"/>
          <w:color w:val="FF0000"/>
        </w:rPr>
        <w:t>Committee members may submit follow-up questions to CDHE staff for consolidation.</w:t>
      </w:r>
    </w:p>
    <w:bookmarkEnd w:id="2"/>
    <w:p w14:paraId="6FF16920" w14:textId="3038BD38" w:rsidR="006A14D8" w:rsidRPr="008460F3" w:rsidRDefault="00BB6417" w:rsidP="008460F3">
      <w:pPr>
        <w:pStyle w:val="Informal1"/>
        <w:ind w:left="2880" w:right="-126" w:hanging="2880"/>
        <w:rPr>
          <w:rFonts w:ascii="Trebuchet MS" w:hAnsi="Trebuchet MS"/>
          <w:iCs/>
          <w:sz w:val="22"/>
          <w:szCs w:val="22"/>
        </w:rPr>
      </w:pPr>
      <w:r>
        <w:rPr>
          <w:rFonts w:ascii="Trebuchet MS" w:hAnsi="Trebuchet MS"/>
          <w:noProof/>
        </w:rPr>
        <mc:AlternateContent>
          <mc:Choice Requires="wps">
            <w:drawing>
              <wp:anchor distT="0" distB="0" distL="114300" distR="114300" simplePos="0" relativeHeight="251681792" behindDoc="0" locked="0" layoutInCell="1" allowOverlap="1" wp14:anchorId="2780E08F" wp14:editId="2714E910">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05A07"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60D03F4" w14:textId="423821B5" w:rsidR="00C42001" w:rsidRDefault="00580476" w:rsidP="00FB2169">
      <w:pPr>
        <w:pStyle w:val="Informal2"/>
        <w:tabs>
          <w:tab w:val="right" w:pos="2160"/>
        </w:tabs>
        <w:ind w:left="2880" w:hanging="2880"/>
        <w:rPr>
          <w:b w:val="0"/>
          <w:bCs w:val="0"/>
          <w:i/>
          <w:iCs/>
          <w:color w:val="4F6228" w:themeColor="accent3" w:themeShade="80"/>
        </w:rPr>
      </w:pPr>
      <w:r>
        <w:t>2:00 pm</w:t>
      </w:r>
      <w:r w:rsidR="00FB6F51" w:rsidRPr="002B1B26">
        <w:tab/>
      </w:r>
      <w:r w:rsidR="00FB6F51" w:rsidRPr="002B1B26">
        <w:tab/>
      </w:r>
      <w:r w:rsidR="00FB2169">
        <w:t>Exploration of Credit Mobility Versus Transfer Strategies</w:t>
      </w:r>
      <w:r w:rsidR="00FB2169">
        <w:br/>
      </w:r>
      <w:r w:rsidR="00FB2169">
        <w:rPr>
          <w:b w:val="0"/>
          <w:bCs w:val="0"/>
          <w:i/>
          <w:iCs/>
          <w:color w:val="4F6228" w:themeColor="accent3" w:themeShade="80"/>
        </w:rPr>
        <w:t>Brad Griffith, CDHE Staff</w:t>
      </w:r>
    </w:p>
    <w:p w14:paraId="4818317C" w14:textId="4F7F012E" w:rsidR="005B4872" w:rsidRDefault="005B4872" w:rsidP="005B4872">
      <w:pPr>
        <w:pStyle w:val="Informal2"/>
        <w:tabs>
          <w:tab w:val="right" w:pos="2160"/>
        </w:tabs>
        <w:ind w:left="2880" w:hanging="2880"/>
        <w:rPr>
          <w:b w:val="0"/>
          <w:bCs w:val="0"/>
          <w:color w:val="FF0000"/>
        </w:rPr>
      </w:pPr>
      <w:r>
        <w:lastRenderedPageBreak/>
        <w:tab/>
      </w:r>
      <w:r>
        <w:tab/>
      </w:r>
      <w:r w:rsidRPr="005B4872">
        <w:rPr>
          <w:b w:val="0"/>
          <w:bCs w:val="0"/>
          <w:color w:val="FF0000"/>
        </w:rPr>
        <w:t>Brad</w:t>
      </w:r>
      <w:r>
        <w:rPr>
          <w:b w:val="0"/>
          <w:bCs w:val="0"/>
          <w:color w:val="FF0000"/>
        </w:rPr>
        <w:t xml:space="preserve"> </w:t>
      </w:r>
      <w:r w:rsidRPr="005B4872">
        <w:rPr>
          <w:b w:val="0"/>
          <w:bCs w:val="0"/>
          <w:color w:val="FF0000"/>
        </w:rPr>
        <w:t>facilitated a discussion distinguishing traditional transfer (linear movement between institutions) from credit mobility (recognition of learning acquired across contexts and over time). Members identified successes of the current system, including statewide transfer degrees and GT Pathways, while also noting unintended consequences, such as the perception that non-GT courses lack value.</w:t>
      </w:r>
    </w:p>
    <w:p w14:paraId="26BD1DC4" w14:textId="77777777" w:rsidR="005B4872" w:rsidRDefault="005B4872" w:rsidP="005B4872">
      <w:pPr>
        <w:pStyle w:val="Informal2"/>
        <w:tabs>
          <w:tab w:val="right" w:pos="2160"/>
        </w:tabs>
        <w:ind w:left="2880" w:hanging="2880"/>
        <w:rPr>
          <w:b w:val="0"/>
          <w:bCs w:val="0"/>
          <w:color w:val="FF0000"/>
        </w:rPr>
      </w:pPr>
    </w:p>
    <w:p w14:paraId="1EC71023" w14:textId="68F99A97" w:rsidR="005B4872" w:rsidRPr="005B4872" w:rsidRDefault="005B4872" w:rsidP="005B4872">
      <w:pPr>
        <w:pStyle w:val="Informal2"/>
        <w:tabs>
          <w:tab w:val="right" w:pos="2160"/>
        </w:tabs>
        <w:ind w:left="2880" w:hanging="2880"/>
        <w:rPr>
          <w:b w:val="0"/>
          <w:bCs w:val="0"/>
          <w:color w:val="FF0000"/>
        </w:rPr>
      </w:pPr>
      <w:r>
        <w:rPr>
          <w:b w:val="0"/>
          <w:bCs w:val="0"/>
          <w:color w:val="FF0000"/>
        </w:rPr>
        <w:tab/>
      </w:r>
      <w:r>
        <w:rPr>
          <w:b w:val="0"/>
          <w:bCs w:val="0"/>
          <w:color w:val="FF0000"/>
        </w:rPr>
        <w:tab/>
      </w:r>
      <w:r w:rsidRPr="005B4872">
        <w:rPr>
          <w:b w:val="0"/>
          <w:bCs w:val="0"/>
          <w:color w:val="FF0000"/>
        </w:rPr>
        <w:t>Several members discussed the potential value of a “generally transferable” designation for non-GT courses, citing Colorado Mountain College’s use of a secondary marker to indicate likely transferability without a guarantee.</w:t>
      </w:r>
    </w:p>
    <w:p w14:paraId="561FFFD3" w14:textId="77777777" w:rsidR="005B4872" w:rsidRDefault="005B4872" w:rsidP="005B4872">
      <w:pPr>
        <w:pStyle w:val="Informal2"/>
        <w:tabs>
          <w:tab w:val="right" w:pos="2160"/>
        </w:tabs>
        <w:ind w:left="2880" w:hanging="2880"/>
        <w:rPr>
          <w:b w:val="0"/>
          <w:bCs w:val="0"/>
          <w:color w:val="FF0000"/>
        </w:rPr>
      </w:pPr>
    </w:p>
    <w:p w14:paraId="6F12254A" w14:textId="77777777" w:rsidR="005B4872" w:rsidRPr="006F5502" w:rsidRDefault="005B4872" w:rsidP="005B4872">
      <w:pPr>
        <w:pStyle w:val="Informal2"/>
        <w:tabs>
          <w:tab w:val="right" w:pos="2160"/>
        </w:tabs>
        <w:ind w:left="2880" w:hanging="2880"/>
        <w:rPr>
          <w:color w:val="FF0000"/>
        </w:rPr>
      </w:pPr>
      <w:r>
        <w:rPr>
          <w:b w:val="0"/>
          <w:bCs w:val="0"/>
          <w:color w:val="FF0000"/>
        </w:rPr>
        <w:tab/>
      </w:r>
      <w:r>
        <w:rPr>
          <w:b w:val="0"/>
          <w:bCs w:val="0"/>
          <w:color w:val="FF0000"/>
        </w:rPr>
        <w:tab/>
      </w:r>
      <w:r w:rsidRPr="005B4872">
        <w:rPr>
          <w:color w:val="FF0000"/>
        </w:rPr>
        <w:t>Emerging Discussion Topics:</w:t>
      </w:r>
    </w:p>
    <w:p w14:paraId="302A4D52" w14:textId="1284D97E" w:rsidR="005B4872" w:rsidRDefault="005B4872" w:rsidP="005B4872">
      <w:pPr>
        <w:pStyle w:val="Informal2"/>
        <w:numPr>
          <w:ilvl w:val="4"/>
          <w:numId w:val="11"/>
        </w:numPr>
        <w:tabs>
          <w:tab w:val="right" w:pos="2160"/>
        </w:tabs>
        <w:rPr>
          <w:b w:val="0"/>
          <w:bCs w:val="0"/>
          <w:color w:val="FF0000"/>
        </w:rPr>
      </w:pPr>
      <w:r w:rsidRPr="005B4872">
        <w:rPr>
          <w:b w:val="0"/>
          <w:bCs w:val="0"/>
          <w:color w:val="FF0000"/>
        </w:rPr>
        <w:t>What aspects of the current transfer system must be preserved?</w:t>
      </w:r>
    </w:p>
    <w:p w14:paraId="3BA57D45" w14:textId="0D9880E2" w:rsidR="005B4872" w:rsidRDefault="005B4872" w:rsidP="005B4872">
      <w:pPr>
        <w:pStyle w:val="Informal2"/>
        <w:numPr>
          <w:ilvl w:val="4"/>
          <w:numId w:val="11"/>
        </w:numPr>
        <w:tabs>
          <w:tab w:val="right" w:pos="2160"/>
        </w:tabs>
        <w:rPr>
          <w:b w:val="0"/>
          <w:bCs w:val="0"/>
          <w:color w:val="FF0000"/>
        </w:rPr>
      </w:pPr>
      <w:r w:rsidRPr="005B4872">
        <w:rPr>
          <w:b w:val="0"/>
          <w:bCs w:val="0"/>
          <w:color w:val="FF0000"/>
        </w:rPr>
        <w:t>What new structures are needed for learning that falls outside GT and STAAs?</w:t>
      </w:r>
    </w:p>
    <w:p w14:paraId="46B01613" w14:textId="029DD5C1" w:rsidR="005B4872" w:rsidRPr="001E6AD5" w:rsidRDefault="005B4872" w:rsidP="001E6AD5">
      <w:pPr>
        <w:pStyle w:val="Informal2"/>
        <w:numPr>
          <w:ilvl w:val="4"/>
          <w:numId w:val="11"/>
        </w:numPr>
        <w:tabs>
          <w:tab w:val="right" w:pos="2160"/>
        </w:tabs>
        <w:rPr>
          <w:b w:val="0"/>
          <w:bCs w:val="0"/>
          <w:color w:val="FF0000"/>
        </w:rPr>
      </w:pPr>
      <w:r w:rsidRPr="005B4872">
        <w:rPr>
          <w:b w:val="0"/>
          <w:bCs w:val="0"/>
          <w:color w:val="FF0000"/>
        </w:rPr>
        <w:t>How to integrate mobility principles without diluting existing guarantees?</w:t>
      </w:r>
    </w:p>
    <w:p w14:paraId="380CB5C4" w14:textId="496A99C5" w:rsidR="00FB6F51" w:rsidRDefault="00FB6F51" w:rsidP="00272F68">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E2221EA" w14:textId="322C8876" w:rsidR="00D1696E" w:rsidRPr="00C241AA" w:rsidRDefault="00580476" w:rsidP="00D1696E">
      <w:pPr>
        <w:pStyle w:val="Informal2"/>
        <w:tabs>
          <w:tab w:val="right" w:pos="2160"/>
        </w:tabs>
      </w:pPr>
      <w:r>
        <w:t>2:20 pm</w:t>
      </w:r>
      <w:r w:rsidR="00D1696E" w:rsidRPr="002B1B26">
        <w:tab/>
      </w:r>
      <w:r w:rsidR="00D1696E" w:rsidRPr="002B1B26">
        <w:tab/>
      </w:r>
      <w:r w:rsidR="00C42001">
        <w:t>Closing Discussion and Next Steps</w:t>
      </w:r>
    </w:p>
    <w:p w14:paraId="277FBCEA" w14:textId="77777777" w:rsidR="00C42001" w:rsidRDefault="00C42001" w:rsidP="00C4200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1741BC62" w14:textId="577AA0A5" w:rsidR="002F1963" w:rsidRPr="002F1963" w:rsidRDefault="002F1963" w:rsidP="002F1963">
      <w:pPr>
        <w:ind w:left="2880"/>
        <w:rPr>
          <w:rFonts w:ascii="Arial" w:hAnsi="Arial" w:cs="Arial"/>
          <w:color w:val="FF0000"/>
          <w:sz w:val="24"/>
          <w:szCs w:val="24"/>
        </w:rPr>
      </w:pPr>
      <w:r w:rsidRPr="002F1963">
        <w:rPr>
          <w:rFonts w:ascii="Arial" w:hAnsi="Arial" w:cs="Arial"/>
          <w:color w:val="FF0000"/>
          <w:sz w:val="24"/>
          <w:szCs w:val="24"/>
        </w:rPr>
        <w:t xml:space="preserve">Commissioner Abramson summarized the discussion and outlined expectations for the next meeting. The committee will work toward aligning its </w:t>
      </w:r>
      <w:r w:rsidRPr="002F1963">
        <w:rPr>
          <w:rFonts w:ascii="Arial" w:hAnsi="Arial" w:cs="Arial"/>
          <w:b/>
          <w:bCs/>
          <w:color w:val="FF0000"/>
          <w:sz w:val="24"/>
          <w:szCs w:val="24"/>
        </w:rPr>
        <w:t>aspirational vision</w:t>
      </w:r>
      <w:r w:rsidRPr="002F1963">
        <w:rPr>
          <w:rFonts w:ascii="Arial" w:hAnsi="Arial" w:cs="Arial"/>
          <w:color w:val="FF0000"/>
          <w:sz w:val="24"/>
          <w:szCs w:val="24"/>
        </w:rPr>
        <w:t xml:space="preserve"> with identified </w:t>
      </w:r>
      <w:r w:rsidRPr="002F1963">
        <w:rPr>
          <w:rFonts w:ascii="Arial" w:hAnsi="Arial" w:cs="Arial"/>
          <w:b/>
          <w:bCs/>
          <w:color w:val="FF0000"/>
          <w:sz w:val="24"/>
          <w:szCs w:val="24"/>
        </w:rPr>
        <w:t>barriers</w:t>
      </w:r>
      <w:r w:rsidRPr="002F1963">
        <w:rPr>
          <w:rFonts w:ascii="Arial" w:hAnsi="Arial" w:cs="Arial"/>
          <w:color w:val="FF0000"/>
          <w:sz w:val="24"/>
          <w:szCs w:val="24"/>
        </w:rPr>
        <w:t xml:space="preserve">, followed by concrete discussion of solutions. Members were asked to think ahead about actions at three levels: what institutions can do independently, what CDHE and CCHE can advance systemwide, and what recommendations should be elevated to the forthcoming </w:t>
      </w:r>
      <w:r w:rsidR="009070B5">
        <w:rPr>
          <w:rFonts w:ascii="Arial" w:hAnsi="Arial" w:cs="Arial"/>
          <w:color w:val="FF0000"/>
          <w:sz w:val="24"/>
          <w:szCs w:val="24"/>
        </w:rPr>
        <w:t>TAC</w:t>
      </w:r>
      <w:r w:rsidRPr="002F1963">
        <w:rPr>
          <w:rFonts w:ascii="Arial" w:hAnsi="Arial" w:cs="Arial"/>
          <w:color w:val="FF0000"/>
          <w:sz w:val="24"/>
          <w:szCs w:val="24"/>
        </w:rPr>
        <w:t>.</w:t>
      </w:r>
    </w:p>
    <w:p w14:paraId="35F6AB51" w14:textId="77777777" w:rsidR="002F1963" w:rsidRDefault="002F1963" w:rsidP="002F1963">
      <w:pPr>
        <w:ind w:left="2160" w:firstLine="720"/>
        <w:rPr>
          <w:rFonts w:ascii="Arial" w:hAnsi="Arial" w:cs="Arial"/>
          <w:b/>
          <w:bCs/>
          <w:color w:val="FF0000"/>
          <w:sz w:val="24"/>
          <w:szCs w:val="24"/>
        </w:rPr>
      </w:pPr>
    </w:p>
    <w:p w14:paraId="4C624605" w14:textId="77777777" w:rsidR="002F1963" w:rsidRDefault="002F1963" w:rsidP="002F1963">
      <w:pPr>
        <w:ind w:left="2160" w:firstLine="720"/>
        <w:rPr>
          <w:rFonts w:ascii="Arial" w:hAnsi="Arial" w:cs="Arial"/>
          <w:color w:val="FF0000"/>
          <w:sz w:val="24"/>
          <w:szCs w:val="24"/>
        </w:rPr>
      </w:pPr>
      <w:r w:rsidRPr="002F1963">
        <w:rPr>
          <w:rFonts w:ascii="Arial" w:hAnsi="Arial" w:cs="Arial"/>
          <w:b/>
          <w:bCs/>
          <w:color w:val="FF0000"/>
          <w:sz w:val="24"/>
          <w:szCs w:val="24"/>
        </w:rPr>
        <w:t>Homework / Preparation for Next Meeting:</w:t>
      </w:r>
    </w:p>
    <w:p w14:paraId="6978558D" w14:textId="77777777" w:rsidR="002F1963" w:rsidRPr="002F1963" w:rsidRDefault="002F1963" w:rsidP="002F1963">
      <w:pPr>
        <w:pStyle w:val="ListParagraph"/>
        <w:numPr>
          <w:ilvl w:val="0"/>
          <w:numId w:val="13"/>
        </w:numPr>
        <w:rPr>
          <w:rFonts w:ascii="Arial" w:hAnsi="Arial" w:cs="Arial"/>
          <w:color w:val="FF0000"/>
          <w:sz w:val="24"/>
          <w:szCs w:val="24"/>
        </w:rPr>
      </w:pPr>
      <w:r w:rsidRPr="002F1963">
        <w:rPr>
          <w:rFonts w:ascii="Arial" w:hAnsi="Arial" w:cs="Arial"/>
          <w:color w:val="FF0000"/>
          <w:sz w:val="24"/>
          <w:szCs w:val="24"/>
        </w:rPr>
        <w:t>Reflect on solutions to identified barriers, particularly those that improve navigation without requiring significant new resources.</w:t>
      </w:r>
    </w:p>
    <w:p w14:paraId="6B01C4BF" w14:textId="77777777" w:rsidR="002F1963" w:rsidRPr="002F1963" w:rsidRDefault="002F1963" w:rsidP="002F1963">
      <w:pPr>
        <w:pStyle w:val="ListParagraph"/>
        <w:numPr>
          <w:ilvl w:val="0"/>
          <w:numId w:val="13"/>
        </w:numPr>
        <w:rPr>
          <w:rFonts w:ascii="Arial" w:hAnsi="Arial" w:cs="Arial"/>
          <w:color w:val="FF0000"/>
          <w:sz w:val="24"/>
          <w:szCs w:val="24"/>
        </w:rPr>
      </w:pPr>
      <w:r w:rsidRPr="002F1963">
        <w:rPr>
          <w:rFonts w:ascii="Arial" w:hAnsi="Arial" w:cs="Arial"/>
          <w:color w:val="FF0000"/>
          <w:sz w:val="24"/>
          <w:szCs w:val="24"/>
        </w:rPr>
        <w:lastRenderedPageBreak/>
        <w:t>Consider recommendations that could inform statewide policy, practice, or system redesign.</w:t>
      </w:r>
    </w:p>
    <w:p w14:paraId="68A06F94" w14:textId="54F67708" w:rsidR="002F1963" w:rsidRPr="002F1963" w:rsidRDefault="002F1963" w:rsidP="002F1963">
      <w:pPr>
        <w:pStyle w:val="ListParagraph"/>
        <w:numPr>
          <w:ilvl w:val="0"/>
          <w:numId w:val="13"/>
        </w:numPr>
        <w:rPr>
          <w:rFonts w:ascii="Arial" w:hAnsi="Arial" w:cs="Arial"/>
          <w:color w:val="FF0000"/>
          <w:sz w:val="24"/>
          <w:szCs w:val="24"/>
        </w:rPr>
      </w:pPr>
      <w:r w:rsidRPr="002F1963">
        <w:rPr>
          <w:rFonts w:ascii="Arial" w:hAnsi="Arial" w:cs="Arial"/>
          <w:color w:val="FF0000"/>
          <w:sz w:val="24"/>
          <w:szCs w:val="24"/>
        </w:rPr>
        <w:t xml:space="preserve">Review materials on the </w:t>
      </w:r>
      <w:hyperlink r:id="rId8" w:tooltip="Transfer Subcommittee Collaborative Working Document" w:history="1">
        <w:r w:rsidRPr="00A922A3">
          <w:rPr>
            <w:rStyle w:val="Hyperlink"/>
            <w:rFonts w:ascii="Arial" w:hAnsi="Arial" w:cs="Arial"/>
            <w:sz w:val="24"/>
            <w:szCs w:val="24"/>
          </w:rPr>
          <w:t>collaboration board</w:t>
        </w:r>
      </w:hyperlink>
      <w:r w:rsidRPr="002F1963">
        <w:rPr>
          <w:rFonts w:ascii="Arial" w:hAnsi="Arial" w:cs="Arial"/>
          <w:color w:val="FF0000"/>
          <w:sz w:val="24"/>
          <w:szCs w:val="24"/>
        </w:rPr>
        <w:t xml:space="preserve"> and contribute ideas as able.</w:t>
      </w:r>
    </w:p>
    <w:p w14:paraId="67615592" w14:textId="77777777" w:rsidR="00D1696E" w:rsidRDefault="00D1696E" w:rsidP="002F1963">
      <w:pPr>
        <w:rPr>
          <w:rFonts w:ascii="Arial" w:hAnsi="Arial" w:cs="Arial"/>
          <w:i/>
          <w:iCs/>
          <w:color w:val="4F6228" w:themeColor="accent3" w:themeShade="80"/>
          <w:sz w:val="24"/>
          <w:szCs w:val="24"/>
        </w:rPr>
      </w:pPr>
    </w:p>
    <w:p w14:paraId="31CD2E40" w14:textId="0E4CAEE8" w:rsidR="00272F68" w:rsidRDefault="00430687" w:rsidP="00D1696E">
      <w:pPr>
        <w:pStyle w:val="Informal2"/>
        <w:tabs>
          <w:tab w:val="right" w:pos="2160"/>
        </w:tabs>
        <w:ind w:left="2880" w:hanging="2880"/>
      </w:pPr>
      <w:r w:rsidRPr="002B1B26">
        <w:t>Next meeting date:</w:t>
      </w:r>
      <w:r w:rsidR="00A47DB5">
        <w:t xml:space="preserve"> </w:t>
      </w:r>
      <w:r w:rsidR="00D1696E">
        <w:t xml:space="preserve">Tuesday, April </w:t>
      </w:r>
      <w:r w:rsidR="00472907">
        <w:t>28</w:t>
      </w:r>
      <w:r w:rsidR="00D1696E">
        <w:t>, 1-2:30 pm</w:t>
      </w:r>
    </w:p>
    <w:p w14:paraId="0509CA03" w14:textId="77777777" w:rsidR="00D1696E" w:rsidRDefault="00D1696E" w:rsidP="00D1696E">
      <w:pPr>
        <w:pStyle w:val="Informal2"/>
        <w:tabs>
          <w:tab w:val="right" w:pos="2160"/>
        </w:tabs>
        <w:ind w:left="2880" w:hanging="2880"/>
      </w:pPr>
    </w:p>
    <w:p w14:paraId="162F37E1" w14:textId="77777777" w:rsidR="00D1696E" w:rsidRDefault="00D1696E" w:rsidP="00D1696E">
      <w:pPr>
        <w:pStyle w:val="Informal2"/>
        <w:tabs>
          <w:tab w:val="right" w:pos="2160"/>
        </w:tabs>
        <w:ind w:left="2880" w:hanging="2880"/>
      </w:pPr>
    </w:p>
    <w:p w14:paraId="30B7642D" w14:textId="77777777" w:rsidR="00D1696E" w:rsidRDefault="00D1696E" w:rsidP="00D1696E">
      <w:pPr>
        <w:pStyle w:val="Informal2"/>
        <w:tabs>
          <w:tab w:val="right" w:pos="2160"/>
        </w:tabs>
        <w:ind w:left="2880" w:hanging="2880"/>
      </w:pPr>
    </w:p>
    <w:p w14:paraId="1993EA9F" w14:textId="77777777" w:rsidR="00D1696E" w:rsidRPr="002B1B26" w:rsidRDefault="00D1696E" w:rsidP="00D1696E">
      <w:pPr>
        <w:pStyle w:val="Informal2"/>
        <w:tabs>
          <w:tab w:val="right" w:pos="2160"/>
        </w:tabs>
        <w:ind w:left="2880" w:hanging="2880"/>
      </w:pPr>
    </w:p>
    <w:p w14:paraId="1CFE9ED4" w14:textId="74F5F3B5" w:rsidR="008A2A1F" w:rsidRPr="002B1B26" w:rsidRDefault="008A2A1F">
      <w:pPr>
        <w:rPr>
          <w:rFonts w:ascii="Arial" w:hAnsi="Arial" w:cs="Arial"/>
        </w:rPr>
      </w:pPr>
      <w:r w:rsidRPr="002B1B26">
        <w:rPr>
          <w:rFonts w:ascii="Arial" w:hAnsi="Arial" w:cs="Arial"/>
          <w:b/>
          <w:sz w:val="24"/>
          <w:szCs w:val="24"/>
        </w:rPr>
        <w:t>ACTION ITEMS</w:t>
      </w: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D1696E">
        <w:trPr>
          <w:tblHeader/>
        </w:trPr>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bookmarkStart w:id="3" w:name="AdditionalInformation"/>
            <w:bookmarkEnd w:id="3"/>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p>
    <w:sectPr w:rsidR="002A471F" w:rsidRPr="002B1B26" w:rsidSect="00F97AAC">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0B02"/>
    <w:multiLevelType w:val="hybridMultilevel"/>
    <w:tmpl w:val="6B6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209F3C84"/>
    <w:multiLevelType w:val="multilevel"/>
    <w:tmpl w:val="AE0C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C6C18"/>
    <w:multiLevelType w:val="hybridMultilevel"/>
    <w:tmpl w:val="2D9C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47542AEA"/>
    <w:multiLevelType w:val="hybridMultilevel"/>
    <w:tmpl w:val="F1840B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3723DE"/>
    <w:multiLevelType w:val="multilevel"/>
    <w:tmpl w:val="8152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573A9"/>
    <w:multiLevelType w:val="hybridMultilevel"/>
    <w:tmpl w:val="FC1E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6E8C3CD4"/>
    <w:multiLevelType w:val="multilevel"/>
    <w:tmpl w:val="89B2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F46ED"/>
    <w:multiLevelType w:val="hybridMultilevel"/>
    <w:tmpl w:val="5F8AC1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AE270E"/>
    <w:multiLevelType w:val="multilevel"/>
    <w:tmpl w:val="FA5C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11"/>
  </w:num>
  <w:num w:numId="2" w16cid:durableId="1345016178">
    <w:abstractNumId w:val="15"/>
  </w:num>
  <w:num w:numId="3" w16cid:durableId="855119947">
    <w:abstractNumId w:val="6"/>
  </w:num>
  <w:num w:numId="4" w16cid:durableId="1728718574">
    <w:abstractNumId w:val="4"/>
  </w:num>
  <w:num w:numId="5" w16cid:durableId="545222613">
    <w:abstractNumId w:val="1"/>
  </w:num>
  <w:num w:numId="6" w16cid:durableId="769665574">
    <w:abstractNumId w:val="5"/>
  </w:num>
  <w:num w:numId="7" w16cid:durableId="1759516500">
    <w:abstractNumId w:val="10"/>
  </w:num>
  <w:num w:numId="8" w16cid:durableId="818570735">
    <w:abstractNumId w:val="8"/>
  </w:num>
  <w:num w:numId="9" w16cid:durableId="1508405260">
    <w:abstractNumId w:val="9"/>
  </w:num>
  <w:num w:numId="10" w16cid:durableId="1443452446">
    <w:abstractNumId w:val="14"/>
  </w:num>
  <w:num w:numId="11" w16cid:durableId="611090360">
    <w:abstractNumId w:val="0"/>
  </w:num>
  <w:num w:numId="12" w16cid:durableId="2066447045">
    <w:abstractNumId w:val="2"/>
  </w:num>
  <w:num w:numId="13" w16cid:durableId="1416393855">
    <w:abstractNumId w:val="13"/>
  </w:num>
  <w:num w:numId="14" w16cid:durableId="475992444">
    <w:abstractNumId w:val="12"/>
  </w:num>
  <w:num w:numId="15" w16cid:durableId="1795443124">
    <w:abstractNumId w:val="3"/>
  </w:num>
  <w:num w:numId="16" w16cid:durableId="36025280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447"/>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3173"/>
    <w:rsid w:val="000E51D9"/>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5F7C"/>
    <w:rsid w:val="0014668A"/>
    <w:rsid w:val="00146905"/>
    <w:rsid w:val="001517F1"/>
    <w:rsid w:val="00160185"/>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6AD5"/>
    <w:rsid w:val="001E7C3A"/>
    <w:rsid w:val="001E7E26"/>
    <w:rsid w:val="001F03D0"/>
    <w:rsid w:val="001F1DFF"/>
    <w:rsid w:val="001F2988"/>
    <w:rsid w:val="001F4DFA"/>
    <w:rsid w:val="001F5894"/>
    <w:rsid w:val="002022FF"/>
    <w:rsid w:val="00202814"/>
    <w:rsid w:val="00203051"/>
    <w:rsid w:val="00203112"/>
    <w:rsid w:val="002162EE"/>
    <w:rsid w:val="0021787A"/>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2DB7"/>
    <w:rsid w:val="002547FE"/>
    <w:rsid w:val="00256801"/>
    <w:rsid w:val="00256B37"/>
    <w:rsid w:val="002579C1"/>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3871"/>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28D1"/>
    <w:rsid w:val="002D3791"/>
    <w:rsid w:val="002D4F7A"/>
    <w:rsid w:val="002D610B"/>
    <w:rsid w:val="002D6EE0"/>
    <w:rsid w:val="002D7795"/>
    <w:rsid w:val="002D7BCD"/>
    <w:rsid w:val="002D7E28"/>
    <w:rsid w:val="002E090C"/>
    <w:rsid w:val="002E2A96"/>
    <w:rsid w:val="002E4B91"/>
    <w:rsid w:val="002E50D7"/>
    <w:rsid w:val="002E54B9"/>
    <w:rsid w:val="002E7455"/>
    <w:rsid w:val="002F02F8"/>
    <w:rsid w:val="002F1963"/>
    <w:rsid w:val="002F27ED"/>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3E6"/>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6F8"/>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16297"/>
    <w:rsid w:val="00430687"/>
    <w:rsid w:val="00430D8A"/>
    <w:rsid w:val="00431E1E"/>
    <w:rsid w:val="00440439"/>
    <w:rsid w:val="00440995"/>
    <w:rsid w:val="00441BE2"/>
    <w:rsid w:val="00441CF8"/>
    <w:rsid w:val="00443E44"/>
    <w:rsid w:val="00445197"/>
    <w:rsid w:val="0044620D"/>
    <w:rsid w:val="00446D8D"/>
    <w:rsid w:val="0044766B"/>
    <w:rsid w:val="00447AD7"/>
    <w:rsid w:val="004539D7"/>
    <w:rsid w:val="0045404E"/>
    <w:rsid w:val="00455E0E"/>
    <w:rsid w:val="00457C83"/>
    <w:rsid w:val="00460695"/>
    <w:rsid w:val="00461211"/>
    <w:rsid w:val="00461DDA"/>
    <w:rsid w:val="0046244C"/>
    <w:rsid w:val="00462771"/>
    <w:rsid w:val="00464630"/>
    <w:rsid w:val="00464CFA"/>
    <w:rsid w:val="00466179"/>
    <w:rsid w:val="004665EB"/>
    <w:rsid w:val="004672EC"/>
    <w:rsid w:val="00471EAF"/>
    <w:rsid w:val="00472231"/>
    <w:rsid w:val="00472668"/>
    <w:rsid w:val="00472907"/>
    <w:rsid w:val="00474499"/>
    <w:rsid w:val="004759AA"/>
    <w:rsid w:val="004800CD"/>
    <w:rsid w:val="00483BD1"/>
    <w:rsid w:val="00486161"/>
    <w:rsid w:val="00487E03"/>
    <w:rsid w:val="0049068F"/>
    <w:rsid w:val="00490C99"/>
    <w:rsid w:val="004924E8"/>
    <w:rsid w:val="00494481"/>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5865"/>
    <w:rsid w:val="00556FAA"/>
    <w:rsid w:val="005603D0"/>
    <w:rsid w:val="005626AF"/>
    <w:rsid w:val="00562EE8"/>
    <w:rsid w:val="00564A90"/>
    <w:rsid w:val="00564C5F"/>
    <w:rsid w:val="00570B51"/>
    <w:rsid w:val="00572A00"/>
    <w:rsid w:val="00576460"/>
    <w:rsid w:val="00577F75"/>
    <w:rsid w:val="00580476"/>
    <w:rsid w:val="005806B6"/>
    <w:rsid w:val="00581CC1"/>
    <w:rsid w:val="0058382F"/>
    <w:rsid w:val="00585DBA"/>
    <w:rsid w:val="0058778D"/>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72"/>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17B0C"/>
    <w:rsid w:val="00620777"/>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502"/>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4A03"/>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1543"/>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908"/>
    <w:rsid w:val="00812CBD"/>
    <w:rsid w:val="00813127"/>
    <w:rsid w:val="00820F44"/>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57F0F"/>
    <w:rsid w:val="00861126"/>
    <w:rsid w:val="008627C9"/>
    <w:rsid w:val="00862E1C"/>
    <w:rsid w:val="008633D8"/>
    <w:rsid w:val="0086475E"/>
    <w:rsid w:val="008650E4"/>
    <w:rsid w:val="00866C26"/>
    <w:rsid w:val="00867A39"/>
    <w:rsid w:val="00870F41"/>
    <w:rsid w:val="00871EA9"/>
    <w:rsid w:val="0087519F"/>
    <w:rsid w:val="00877974"/>
    <w:rsid w:val="00882FD8"/>
    <w:rsid w:val="00885037"/>
    <w:rsid w:val="00890644"/>
    <w:rsid w:val="00893928"/>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E6C"/>
    <w:rsid w:val="008C1247"/>
    <w:rsid w:val="008C392D"/>
    <w:rsid w:val="008C42DB"/>
    <w:rsid w:val="008C4516"/>
    <w:rsid w:val="008C4CED"/>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070B5"/>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59A"/>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3F8A"/>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C46"/>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0D41"/>
    <w:rsid w:val="00A2222F"/>
    <w:rsid w:val="00A23ACA"/>
    <w:rsid w:val="00A3717B"/>
    <w:rsid w:val="00A37A40"/>
    <w:rsid w:val="00A4071F"/>
    <w:rsid w:val="00A412ED"/>
    <w:rsid w:val="00A41C81"/>
    <w:rsid w:val="00A42AB8"/>
    <w:rsid w:val="00A44737"/>
    <w:rsid w:val="00A44B18"/>
    <w:rsid w:val="00A47473"/>
    <w:rsid w:val="00A479CC"/>
    <w:rsid w:val="00A47DB5"/>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83834"/>
    <w:rsid w:val="00A83ABB"/>
    <w:rsid w:val="00A90AAD"/>
    <w:rsid w:val="00A922A3"/>
    <w:rsid w:val="00A92EEA"/>
    <w:rsid w:val="00A933DC"/>
    <w:rsid w:val="00A94FF5"/>
    <w:rsid w:val="00A951B4"/>
    <w:rsid w:val="00A97726"/>
    <w:rsid w:val="00AA070E"/>
    <w:rsid w:val="00AA101C"/>
    <w:rsid w:val="00AA20BC"/>
    <w:rsid w:val="00AA3DD5"/>
    <w:rsid w:val="00AA5437"/>
    <w:rsid w:val="00AA5AE4"/>
    <w:rsid w:val="00AB1D15"/>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5133"/>
    <w:rsid w:val="00B0560B"/>
    <w:rsid w:val="00B05A1A"/>
    <w:rsid w:val="00B05D1B"/>
    <w:rsid w:val="00B06272"/>
    <w:rsid w:val="00B0645C"/>
    <w:rsid w:val="00B06710"/>
    <w:rsid w:val="00B10E83"/>
    <w:rsid w:val="00B11CB9"/>
    <w:rsid w:val="00B12ABC"/>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65E8"/>
    <w:rsid w:val="00B774F0"/>
    <w:rsid w:val="00B7755A"/>
    <w:rsid w:val="00B819D6"/>
    <w:rsid w:val="00B8222F"/>
    <w:rsid w:val="00B835B9"/>
    <w:rsid w:val="00B84B1D"/>
    <w:rsid w:val="00B87420"/>
    <w:rsid w:val="00B91E60"/>
    <w:rsid w:val="00B940B3"/>
    <w:rsid w:val="00B9478B"/>
    <w:rsid w:val="00B975A6"/>
    <w:rsid w:val="00B97EAA"/>
    <w:rsid w:val="00BA14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2B00"/>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21BE"/>
    <w:rsid w:val="00C341E9"/>
    <w:rsid w:val="00C374D2"/>
    <w:rsid w:val="00C40523"/>
    <w:rsid w:val="00C418B5"/>
    <w:rsid w:val="00C41C42"/>
    <w:rsid w:val="00C42001"/>
    <w:rsid w:val="00C4208D"/>
    <w:rsid w:val="00C45030"/>
    <w:rsid w:val="00C457D1"/>
    <w:rsid w:val="00C5393D"/>
    <w:rsid w:val="00C53AB5"/>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1FAF"/>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0A9"/>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1696E"/>
    <w:rsid w:val="00D21934"/>
    <w:rsid w:val="00D21F4E"/>
    <w:rsid w:val="00D226DB"/>
    <w:rsid w:val="00D23042"/>
    <w:rsid w:val="00D23943"/>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1C20"/>
    <w:rsid w:val="00E420F6"/>
    <w:rsid w:val="00E440DE"/>
    <w:rsid w:val="00E4438D"/>
    <w:rsid w:val="00E449E8"/>
    <w:rsid w:val="00E46DD3"/>
    <w:rsid w:val="00E50F0B"/>
    <w:rsid w:val="00E51C4F"/>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6F77"/>
    <w:rsid w:val="00ED7066"/>
    <w:rsid w:val="00EE02B2"/>
    <w:rsid w:val="00EE2528"/>
    <w:rsid w:val="00EE2B4B"/>
    <w:rsid w:val="00EE4454"/>
    <w:rsid w:val="00EE4EDB"/>
    <w:rsid w:val="00EE6CCF"/>
    <w:rsid w:val="00EE769C"/>
    <w:rsid w:val="00EE7C13"/>
    <w:rsid w:val="00EF03AE"/>
    <w:rsid w:val="00EF0470"/>
    <w:rsid w:val="00EF14DD"/>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0F6B"/>
    <w:rsid w:val="00F8216F"/>
    <w:rsid w:val="00F82A46"/>
    <w:rsid w:val="00F82C83"/>
    <w:rsid w:val="00F83919"/>
    <w:rsid w:val="00F85895"/>
    <w:rsid w:val="00F90ACB"/>
    <w:rsid w:val="00F91521"/>
    <w:rsid w:val="00F95A1D"/>
    <w:rsid w:val="00F97AAC"/>
    <w:rsid w:val="00FA093D"/>
    <w:rsid w:val="00FA2D01"/>
    <w:rsid w:val="00FA2E6B"/>
    <w:rsid w:val="00FA6019"/>
    <w:rsid w:val="00FA68BE"/>
    <w:rsid w:val="00FB2169"/>
    <w:rsid w:val="00FB273F"/>
    <w:rsid w:val="00FB416B"/>
    <w:rsid w:val="00FB5840"/>
    <w:rsid w:val="00FB5D98"/>
    <w:rsid w:val="00FB6CC4"/>
    <w:rsid w:val="00FB6EA7"/>
    <w:rsid w:val="00FB6F51"/>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15"/>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 w:type="paragraph" w:customStyle="1" w:styleId="xmsonormal">
    <w:name w:val="x_msonormal"/>
    <w:basedOn w:val="Normal"/>
    <w:rsid w:val="003523E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estatecous-my.sharepoint.com/:w:/r/personal/bgriffith_dhe_state_co_us/Documents/Transfer%20Subcommittee/Transfer%20Subcommittee%20Collaboration%20Board.docx?d=w5d34d2cd9aec4e358413ef10fc074728&amp;csf=1&amp;web=1&amp;e=kOY2gM" TargetMode="External"/><Relationship Id="rId3" Type="http://schemas.openxmlformats.org/officeDocument/2006/relationships/settings" Target="settings.xml"/><Relationship Id="rId7" Type="http://schemas.openxmlformats.org/officeDocument/2006/relationships/hyperlink" Target="https://highered-colorado-gov.zoom.us/rec/share/_TtmThLewMWV_O1MuzrDT_uovsJLMFK_zGicjSNOTnG9Lz3aV1S0bVdGmTlSBt8c.V8lV_i3YbJ11ER1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1223</Words>
  <Characters>7910</Characters>
  <Application>Microsoft Office Word</Application>
  <DocSecurity>0</DocSecurity>
  <Lines>213</Lines>
  <Paragraphs>56</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11</cp:revision>
  <cp:lastPrinted>2021-03-26T16:04:00Z</cp:lastPrinted>
  <dcterms:created xsi:type="dcterms:W3CDTF">2026-04-07T18:59:00Z</dcterms:created>
  <dcterms:modified xsi:type="dcterms:W3CDTF">2026-04-08T21:31:00Z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