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vAlign w:val="center"/>
          </w:tcPr>
          <w:p w14:paraId="2CC2726C" w14:textId="4E0BA532" w:rsidR="007268CA" w:rsidRPr="002B1B26" w:rsidRDefault="007268CA" w:rsidP="007268CA">
            <w:pPr>
              <w:pStyle w:val="Informal1"/>
              <w:rPr>
                <w:rFonts w:ascii="Arial" w:hAnsi="Arial" w:cs="Arial"/>
                <w:b/>
                <w:bCs/>
              </w:rPr>
            </w:pPr>
            <w:r w:rsidRPr="002B1B26">
              <w:rPr>
                <w:rFonts w:ascii="Arial" w:hAnsi="Arial" w:cs="Arial"/>
                <w:b/>
                <w:bCs/>
              </w:rPr>
              <w:t xml:space="preserve">CCHE </w:t>
            </w:r>
            <w:r w:rsidR="00FB6F51">
              <w:rPr>
                <w:rFonts w:ascii="Arial" w:hAnsi="Arial" w:cs="Arial"/>
                <w:b/>
                <w:bCs/>
              </w:rPr>
              <w:t>Transfer Subcommittee</w:t>
            </w:r>
          </w:p>
          <w:p w14:paraId="3AAC6D3B" w14:textId="3906A41C" w:rsidR="007268CA" w:rsidRPr="002B1B26" w:rsidRDefault="00744A03" w:rsidP="00F97AAC">
            <w:pPr>
              <w:pStyle w:val="Informal1"/>
              <w:spacing w:before="0" w:after="0"/>
              <w:rPr>
                <w:rFonts w:ascii="Arial" w:hAnsi="Arial" w:cs="Arial"/>
                <w:b/>
                <w:bCs/>
              </w:rPr>
            </w:pPr>
            <w:r>
              <w:rPr>
                <w:rFonts w:ascii="Arial" w:hAnsi="Arial" w:cs="Arial"/>
                <w:b/>
                <w:bCs/>
              </w:rPr>
              <w:t>Tuesday</w:t>
            </w:r>
            <w:r w:rsidR="00A03C46">
              <w:rPr>
                <w:rFonts w:ascii="Arial" w:hAnsi="Arial" w:cs="Arial"/>
                <w:b/>
                <w:bCs/>
              </w:rPr>
              <w:t xml:space="preserve">, </w:t>
            </w:r>
            <w:r w:rsidR="00145F7C">
              <w:rPr>
                <w:rFonts w:ascii="Arial" w:hAnsi="Arial" w:cs="Arial"/>
                <w:b/>
                <w:bCs/>
              </w:rPr>
              <w:t xml:space="preserve">April </w:t>
            </w:r>
            <w:r w:rsidR="006E5706">
              <w:rPr>
                <w:rFonts w:ascii="Arial" w:hAnsi="Arial" w:cs="Arial"/>
                <w:b/>
                <w:bCs/>
              </w:rPr>
              <w:t>28</w:t>
            </w:r>
            <w:r w:rsidR="00145F7C">
              <w:rPr>
                <w:rFonts w:ascii="Arial" w:hAnsi="Arial" w:cs="Arial"/>
                <w:b/>
                <w:bCs/>
              </w:rPr>
              <w:t>, 2026</w:t>
            </w:r>
          </w:p>
          <w:p w14:paraId="03E73BAA" w14:textId="46C03F4E" w:rsidR="00F97AAC" w:rsidRPr="002B1B26" w:rsidRDefault="004539D7" w:rsidP="00F97AAC">
            <w:pPr>
              <w:pStyle w:val="Informal1"/>
              <w:spacing w:before="0" w:after="0"/>
              <w:rPr>
                <w:rFonts w:ascii="Arial" w:hAnsi="Arial" w:cs="Arial"/>
                <w:b/>
                <w:bCs/>
              </w:rPr>
            </w:pPr>
            <w:r>
              <w:rPr>
                <w:rFonts w:ascii="Arial" w:hAnsi="Arial" w:cs="Arial"/>
                <w:b/>
                <w:bCs/>
              </w:rPr>
              <w:t>1</w:t>
            </w:r>
            <w:r w:rsidR="00D1696E">
              <w:rPr>
                <w:rFonts w:ascii="Arial" w:hAnsi="Arial" w:cs="Arial"/>
                <w:b/>
                <w:bCs/>
              </w:rPr>
              <w:t>:00</w:t>
            </w:r>
            <w:r>
              <w:rPr>
                <w:rFonts w:ascii="Arial" w:hAnsi="Arial" w:cs="Arial"/>
                <w:b/>
                <w:bCs/>
              </w:rPr>
              <w:t xml:space="preserve"> – 2:</w:t>
            </w:r>
            <w:r w:rsidR="00D1696E">
              <w:rPr>
                <w:rFonts w:ascii="Arial" w:hAnsi="Arial" w:cs="Arial"/>
                <w:b/>
                <w:bCs/>
              </w:rPr>
              <w:t>30</w:t>
            </w:r>
            <w:r>
              <w:rPr>
                <w:rFonts w:ascii="Arial" w:hAnsi="Arial" w:cs="Arial"/>
                <w:b/>
                <w:bCs/>
              </w:rPr>
              <w:t xml:space="preserve"> pm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4BE914F2" w14:textId="4C34F0E2" w:rsidR="00B34E8A" w:rsidRPr="008E3543" w:rsidRDefault="008E3543" w:rsidP="00145F7C">
            <w:pPr>
              <w:pStyle w:val="Informal2"/>
              <w:rPr>
                <w:b w:val="0"/>
                <w:bCs w:val="0"/>
              </w:rPr>
            </w:pPr>
            <w:hyperlink r:id="rId7" w:tooltip="Link to view CCHE Student Success &amp; Workforce Alignment Transfer Subcommittee April 28, 2026 virtual meeting" w:history="1">
              <w:r w:rsidRPr="008E3543">
                <w:rPr>
                  <w:rStyle w:val="Hyperlink"/>
                  <w:b w:val="0"/>
                  <w:bCs w:val="0"/>
                </w:rPr>
                <w:t>View Meeting Recording</w:t>
              </w:r>
            </w:hyperlink>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5A98E356" w:rsidR="00B34E8A" w:rsidRPr="002B1B26" w:rsidRDefault="00B34E8A" w:rsidP="00F97AAC">
            <w:pPr>
              <w:rPr>
                <w:rFonts w:ascii="Arial" w:hAnsi="Arial" w:cs="Arial"/>
              </w:rPr>
            </w:pPr>
            <w:r w:rsidRPr="002B1B26">
              <w:rPr>
                <w:rFonts w:ascii="Arial" w:hAnsi="Arial" w:cs="Arial"/>
              </w:rPr>
              <w:t xml:space="preserve">CCHE </w:t>
            </w:r>
            <w:r w:rsidR="00FB6F51">
              <w:rPr>
                <w:rFonts w:ascii="Arial" w:hAnsi="Arial" w:cs="Arial"/>
              </w:rPr>
              <w:t>Transfer Subcommittee Members, CDHE Staff</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327B77D2" w:rsidR="00B34E8A" w:rsidRPr="002B1B26" w:rsidRDefault="00B34E8A" w:rsidP="003B0E2B">
            <w:pPr>
              <w:autoSpaceDE w:val="0"/>
              <w:autoSpaceDN w:val="0"/>
              <w:rPr>
                <w:rFonts w:ascii="Arial" w:hAnsi="Arial" w:cs="Arial"/>
              </w:rPr>
            </w:pPr>
            <w:r w:rsidRPr="002B1B26">
              <w:rPr>
                <w:rFonts w:ascii="Arial" w:hAnsi="Arial" w:cs="Arial"/>
              </w:rPr>
              <w:t xml:space="preserve">Discuss student success and academic affairs topics in Colorado to advance </w:t>
            </w:r>
            <w:r w:rsidR="00FB6F51">
              <w:rPr>
                <w:rFonts w:ascii="Arial" w:hAnsi="Arial" w:cs="Arial"/>
              </w:rPr>
              <w:t xml:space="preserve">transfer student </w:t>
            </w:r>
            <w:r w:rsidRPr="002B1B26">
              <w:rPr>
                <w:rFonts w:ascii="Arial" w:hAnsi="Arial" w:cs="Arial"/>
              </w:rPr>
              <w:t>practices and policies</w:t>
            </w:r>
          </w:p>
        </w:tc>
      </w:tr>
    </w:tbl>
    <w:p w14:paraId="05806FAF" w14:textId="78B22F78" w:rsidR="00F97AAC" w:rsidRPr="002B1B26" w:rsidRDefault="00F97AAC">
      <w:pPr>
        <w:rPr>
          <w:rFonts w:ascii="Arial" w:hAnsi="Arial" w:cs="Arial"/>
          <w:b/>
          <w:bCs/>
        </w:rPr>
      </w:pPr>
    </w:p>
    <w:p w14:paraId="2A4080FE" w14:textId="07A1506A" w:rsidR="00C42001"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5442313F" w:rsidR="00B6223D" w:rsidRPr="002B1B26" w:rsidRDefault="00580476" w:rsidP="00B6223D">
      <w:pPr>
        <w:pStyle w:val="Informal2"/>
        <w:tabs>
          <w:tab w:val="right" w:pos="2160"/>
        </w:tabs>
      </w:pPr>
      <w:r>
        <w:t>1:00 pm</w:t>
      </w:r>
      <w:r w:rsidR="00B6223D" w:rsidRPr="002B1B26">
        <w:tab/>
      </w:r>
      <w:r w:rsidR="003F5387" w:rsidRPr="002B1B26">
        <w:tab/>
      </w:r>
      <w:r w:rsidR="00B6223D" w:rsidRPr="002B1B26">
        <w:t>Greetings</w:t>
      </w:r>
      <w:r w:rsidR="00460695">
        <w:t>, Introductions, and Approval of Meeting Minutes</w:t>
      </w:r>
    </w:p>
    <w:p w14:paraId="4650C081" w14:textId="71FC2084" w:rsidR="00D1696E"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FB6F51">
        <w:rPr>
          <w:b w:val="0"/>
          <w:bCs w:val="0"/>
          <w:i/>
          <w:iCs/>
          <w:color w:val="4F6228" w:themeColor="accent3" w:themeShade="80"/>
        </w:rPr>
        <w:t>Subc</w:t>
      </w:r>
      <w:r w:rsidR="00755D71" w:rsidRPr="002B1B26">
        <w:rPr>
          <w:b w:val="0"/>
          <w:bCs w:val="0"/>
          <w:i/>
          <w:iCs/>
          <w:color w:val="4F6228" w:themeColor="accent3" w:themeShade="80"/>
        </w:rPr>
        <w:t>ommittee Cha</w:t>
      </w:r>
      <w:r w:rsidR="00261D6B">
        <w:rPr>
          <w:b w:val="0"/>
          <w:bCs w:val="0"/>
          <w:i/>
          <w:iCs/>
          <w:color w:val="4F6228" w:themeColor="accent3" w:themeShade="80"/>
        </w:rPr>
        <w:t>ir</w:t>
      </w:r>
    </w:p>
    <w:p w14:paraId="7DDAF3F1" w14:textId="10AD809B" w:rsidR="007C3486" w:rsidRPr="007C3486" w:rsidRDefault="007C3486" w:rsidP="007C3486">
      <w:pPr>
        <w:pStyle w:val="Informal2"/>
        <w:tabs>
          <w:tab w:val="right" w:pos="2160"/>
        </w:tabs>
        <w:ind w:left="2880"/>
        <w:rPr>
          <w:b w:val="0"/>
          <w:bCs w:val="0"/>
          <w:color w:val="FF0000"/>
        </w:rPr>
      </w:pPr>
      <w:r w:rsidRPr="007C3486">
        <w:rPr>
          <w:b w:val="0"/>
          <w:bCs w:val="0"/>
          <w:color w:val="FF0000"/>
        </w:rPr>
        <w:t>The meeting opened with a review of prior minutes. A motion to approve was made by</w:t>
      </w:r>
      <w:r>
        <w:rPr>
          <w:b w:val="0"/>
          <w:bCs w:val="0"/>
          <w:color w:val="FF0000"/>
        </w:rPr>
        <w:t xml:space="preserve"> Commissioner </w:t>
      </w:r>
      <w:r w:rsidRPr="007C3486">
        <w:rPr>
          <w:b w:val="0"/>
          <w:bCs w:val="0"/>
          <w:color w:val="FF0000"/>
        </w:rPr>
        <w:t>Walmer and passed unanimously with no opposition or revisions.</w:t>
      </w: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F733B0D" w14:textId="17C908F3" w:rsidR="00D1696E" w:rsidRPr="00D1696E" w:rsidRDefault="00580476" w:rsidP="00D1696E">
      <w:pPr>
        <w:pStyle w:val="Informal2"/>
        <w:tabs>
          <w:tab w:val="right" w:pos="2160"/>
        </w:tabs>
        <w:ind w:left="2880" w:hanging="2880"/>
      </w:pPr>
      <w:r>
        <w:t>1:05 pm</w:t>
      </w:r>
      <w:r w:rsidR="00B6223D" w:rsidRPr="002B1B26">
        <w:tab/>
      </w:r>
      <w:r w:rsidR="00B6223D" w:rsidRPr="002B1B26">
        <w:tab/>
      </w:r>
      <w:r w:rsidR="00FB2169">
        <w:t xml:space="preserve">Continued </w:t>
      </w:r>
      <w:r w:rsidR="00D1696E" w:rsidRPr="00D1696E">
        <w:t>Discuss</w:t>
      </w:r>
      <w:r w:rsidR="00FB2169">
        <w:t>ion of</w:t>
      </w:r>
      <w:r w:rsidR="00D1696E" w:rsidRPr="00D1696E">
        <w:t xml:space="preserve"> </w:t>
      </w:r>
      <w:r w:rsidR="00C42001">
        <w:t xml:space="preserve">Subcommittee </w:t>
      </w:r>
      <w:r w:rsidR="00D1696E" w:rsidRPr="00D1696E">
        <w:t>Vision, Purpose,</w:t>
      </w:r>
      <w:r w:rsidR="00E4453B">
        <w:t xml:space="preserve"> Problem Statement, and Potential Solutions </w:t>
      </w:r>
      <w:r w:rsidR="00C42001">
        <w:t>on Transfer</w:t>
      </w:r>
    </w:p>
    <w:p w14:paraId="5051BB5F" w14:textId="70785D37" w:rsidR="00D1696E" w:rsidRDefault="003523E6" w:rsidP="003523E6">
      <w:pPr>
        <w:pStyle w:val="Informal2"/>
        <w:tabs>
          <w:tab w:val="right" w:pos="2160"/>
        </w:tabs>
        <w:ind w:left="2880" w:hanging="2880"/>
        <w:rPr>
          <w:b w:val="0"/>
          <w:bCs w:val="0"/>
          <w:i/>
          <w:iCs/>
          <w:color w:val="4F6228" w:themeColor="accent3" w:themeShade="80"/>
        </w:rPr>
      </w:pPr>
      <w:r>
        <w:tab/>
      </w:r>
      <w:r>
        <w:tab/>
      </w:r>
      <w:r w:rsidR="00D1696E">
        <w:rPr>
          <w:b w:val="0"/>
          <w:bCs w:val="0"/>
          <w:i/>
          <w:iCs/>
          <w:color w:val="4F6228" w:themeColor="accent3" w:themeShade="80"/>
        </w:rPr>
        <w:t>Berrick Abramson, Subcommittee Chair</w:t>
      </w:r>
    </w:p>
    <w:p w14:paraId="0D5F12EB" w14:textId="77777777" w:rsidR="000B629F" w:rsidRPr="000B629F" w:rsidRDefault="00D948DA" w:rsidP="000B629F">
      <w:pPr>
        <w:pStyle w:val="Informal2"/>
        <w:tabs>
          <w:tab w:val="right" w:pos="2160"/>
        </w:tabs>
        <w:ind w:left="2880" w:hanging="2880"/>
        <w:rPr>
          <w:b w:val="0"/>
          <w:bCs w:val="0"/>
          <w:color w:val="FF0000"/>
        </w:rPr>
      </w:pPr>
      <w:r>
        <w:rPr>
          <w:b w:val="0"/>
          <w:bCs w:val="0"/>
          <w:i/>
          <w:iCs/>
          <w:color w:val="4F6228" w:themeColor="accent3" w:themeShade="80"/>
        </w:rPr>
        <w:tab/>
      </w:r>
      <w:r>
        <w:rPr>
          <w:b w:val="0"/>
          <w:bCs w:val="0"/>
          <w:i/>
          <w:iCs/>
          <w:color w:val="4F6228" w:themeColor="accent3" w:themeShade="80"/>
        </w:rPr>
        <w:tab/>
      </w:r>
      <w:r w:rsidR="000B629F" w:rsidRPr="000B629F">
        <w:rPr>
          <w:b w:val="0"/>
          <w:bCs w:val="0"/>
          <w:color w:val="FF0000"/>
        </w:rPr>
        <w:t xml:space="preserve">The committee continued its discussion on defining a future statewide credit (or knowledge) mobility system, with an emphasis on creating seamless learner pathways across K–12, postsecondary education, and workforce environments. The desired end state includes multiple entry and exit points across systems, stackable credentials that recognize learning from a variety of sources (e.g., concurrent enrollment, work-based learning), and a more transparent, student-centered navigation experience. Members identified several persistent barriers, including inconsistent advising and navigation support, limited transparency in credit applicability, cultural differences between institutions, and complex documentation requirements. The committee emphasized the need to reduce the burden placed on </w:t>
      </w:r>
      <w:r w:rsidR="000B629F" w:rsidRPr="000B629F">
        <w:rPr>
          <w:b w:val="0"/>
          <w:bCs w:val="0"/>
          <w:color w:val="FF0000"/>
        </w:rPr>
        <w:lastRenderedPageBreak/>
        <w:t>students, streamline processes, and improve communication across systems.</w:t>
      </w:r>
    </w:p>
    <w:p w14:paraId="5AB828FB" w14:textId="77777777" w:rsidR="000B629F" w:rsidRDefault="000B629F" w:rsidP="000B629F">
      <w:pPr>
        <w:pStyle w:val="Informal2"/>
        <w:tabs>
          <w:tab w:val="right" w:pos="2160"/>
        </w:tabs>
        <w:ind w:left="2880" w:hanging="2880"/>
        <w:rPr>
          <w:b w:val="0"/>
          <w:bCs w:val="0"/>
          <w:color w:val="FF0000"/>
        </w:rPr>
      </w:pPr>
      <w:r>
        <w:rPr>
          <w:b w:val="0"/>
          <w:bCs w:val="0"/>
          <w:color w:val="FF0000"/>
        </w:rPr>
        <w:tab/>
      </w:r>
      <w:r>
        <w:rPr>
          <w:b w:val="0"/>
          <w:bCs w:val="0"/>
          <w:color w:val="FF0000"/>
        </w:rPr>
        <w:tab/>
      </w:r>
    </w:p>
    <w:p w14:paraId="13658988" w14:textId="0614ADDA" w:rsidR="000B629F" w:rsidRPr="000B629F" w:rsidRDefault="000B629F" w:rsidP="000B629F">
      <w:pPr>
        <w:pStyle w:val="Informal2"/>
        <w:tabs>
          <w:tab w:val="right" w:pos="2160"/>
        </w:tabs>
        <w:ind w:left="2880" w:hanging="2880"/>
        <w:rPr>
          <w:b w:val="0"/>
          <w:bCs w:val="0"/>
          <w:color w:val="FF0000"/>
        </w:rPr>
      </w:pPr>
      <w:r>
        <w:rPr>
          <w:b w:val="0"/>
          <w:bCs w:val="0"/>
          <w:color w:val="FF0000"/>
        </w:rPr>
        <w:tab/>
      </w:r>
      <w:r>
        <w:rPr>
          <w:b w:val="0"/>
          <w:bCs w:val="0"/>
          <w:color w:val="FF0000"/>
        </w:rPr>
        <w:tab/>
      </w:r>
      <w:r w:rsidRPr="000B629F">
        <w:rPr>
          <w:b w:val="0"/>
          <w:bCs w:val="0"/>
          <w:color w:val="FF0000"/>
        </w:rPr>
        <w:t>The discussion highlighted ongoing challenges at the K–12 level, particularly the pressure for students to make early academic and career decisions, which can limit opportunities for exploration. Members noted that students often lack clear guidance on how different types of credit (e.g., AP, IB, concurrent enrollment, CLEP) apply toward degree programs, resulting in a misalignment between credits earned and their eventual applicability. To address these challenges, the committee discussed the potential for treating college and career navigation as a formal curriculum with defined learning outcomes, with the goal of improving student understanding of credit value and transferability.</w:t>
      </w:r>
    </w:p>
    <w:p w14:paraId="5145ED48" w14:textId="77777777" w:rsidR="000B629F" w:rsidRDefault="000B629F" w:rsidP="000B629F">
      <w:pPr>
        <w:pStyle w:val="Informal2"/>
        <w:tabs>
          <w:tab w:val="right" w:pos="2160"/>
        </w:tabs>
        <w:ind w:left="2880" w:hanging="2880"/>
        <w:rPr>
          <w:b w:val="0"/>
          <w:bCs w:val="0"/>
          <w:color w:val="FF0000"/>
        </w:rPr>
      </w:pPr>
    </w:p>
    <w:p w14:paraId="3959D6D0" w14:textId="2CB59FCD" w:rsidR="000B629F" w:rsidRPr="000B629F" w:rsidRDefault="000B629F" w:rsidP="000B629F">
      <w:pPr>
        <w:pStyle w:val="Informal2"/>
        <w:tabs>
          <w:tab w:val="right" w:pos="2160"/>
        </w:tabs>
        <w:ind w:left="2880" w:hanging="2880"/>
        <w:rPr>
          <w:b w:val="0"/>
          <w:bCs w:val="0"/>
          <w:color w:val="FF0000"/>
        </w:rPr>
      </w:pPr>
      <w:r>
        <w:rPr>
          <w:b w:val="0"/>
          <w:bCs w:val="0"/>
          <w:color w:val="FF0000"/>
        </w:rPr>
        <w:tab/>
      </w:r>
      <w:r>
        <w:rPr>
          <w:b w:val="0"/>
          <w:bCs w:val="0"/>
          <w:color w:val="FF0000"/>
        </w:rPr>
        <w:tab/>
      </w:r>
      <w:r w:rsidRPr="000B629F">
        <w:rPr>
          <w:b w:val="0"/>
          <w:bCs w:val="0"/>
          <w:color w:val="FF0000"/>
        </w:rPr>
        <w:t>Participants also identified a lack of trust across sectors</w:t>
      </w:r>
      <w:r>
        <w:rPr>
          <w:b w:val="0"/>
          <w:bCs w:val="0"/>
          <w:color w:val="FF0000"/>
        </w:rPr>
        <w:t xml:space="preserve"> </w:t>
      </w:r>
      <w:r w:rsidRPr="000B629F">
        <w:rPr>
          <w:b w:val="0"/>
          <w:bCs w:val="0"/>
          <w:color w:val="FF0000"/>
        </w:rPr>
        <w:t>—</w:t>
      </w:r>
      <w:r>
        <w:rPr>
          <w:b w:val="0"/>
          <w:bCs w:val="0"/>
          <w:color w:val="FF0000"/>
        </w:rPr>
        <w:t xml:space="preserve"> </w:t>
      </w:r>
      <w:r w:rsidRPr="000B629F">
        <w:rPr>
          <w:b w:val="0"/>
          <w:bCs w:val="0"/>
          <w:color w:val="FF0000"/>
        </w:rPr>
        <w:t>K–12, community colleges, four-year institutions, and industry</w:t>
      </w:r>
      <w:r>
        <w:rPr>
          <w:b w:val="0"/>
          <w:bCs w:val="0"/>
          <w:color w:val="FF0000"/>
        </w:rPr>
        <w:t xml:space="preserve"> </w:t>
      </w:r>
      <w:r w:rsidRPr="000B629F">
        <w:rPr>
          <w:b w:val="0"/>
          <w:bCs w:val="0"/>
          <w:color w:val="FF0000"/>
        </w:rPr>
        <w:t>—</w:t>
      </w:r>
      <w:r>
        <w:rPr>
          <w:b w:val="0"/>
          <w:bCs w:val="0"/>
          <w:color w:val="FF0000"/>
        </w:rPr>
        <w:t xml:space="preserve"> </w:t>
      </w:r>
      <w:r w:rsidRPr="000B629F">
        <w:rPr>
          <w:b w:val="0"/>
          <w:bCs w:val="0"/>
          <w:color w:val="FF0000"/>
        </w:rPr>
        <w:t>as a significant barrier to effective transfer. Recommended strategies included strengthening alignment and shared expectations for learning outcomes, increasing transparency through better data on transfer outcomes and student success, expanding recognition of student skills and competencies beyond traditional credit measures, and exploring dual admission models to improve advising continuity. Members further emphasized the importance of incorporating industry-recognized credentials and work-based learning into the broader mobility system.</w:t>
      </w:r>
    </w:p>
    <w:p w14:paraId="01AF1B25" w14:textId="77777777" w:rsidR="000B629F" w:rsidRDefault="000B629F" w:rsidP="000B629F">
      <w:pPr>
        <w:pStyle w:val="Informal2"/>
        <w:tabs>
          <w:tab w:val="right" w:pos="2160"/>
        </w:tabs>
        <w:ind w:left="2880" w:hanging="2880"/>
        <w:rPr>
          <w:b w:val="0"/>
          <w:bCs w:val="0"/>
          <w:color w:val="FF0000"/>
        </w:rPr>
      </w:pPr>
    </w:p>
    <w:p w14:paraId="4692AA13" w14:textId="64EB5C7B" w:rsidR="000B629F" w:rsidRPr="000B629F" w:rsidRDefault="000B629F" w:rsidP="000B629F">
      <w:pPr>
        <w:pStyle w:val="Informal2"/>
        <w:tabs>
          <w:tab w:val="right" w:pos="2160"/>
        </w:tabs>
        <w:ind w:left="2880" w:hanging="2880"/>
        <w:rPr>
          <w:b w:val="0"/>
          <w:bCs w:val="0"/>
          <w:color w:val="FF0000"/>
        </w:rPr>
      </w:pPr>
      <w:r>
        <w:rPr>
          <w:b w:val="0"/>
          <w:bCs w:val="0"/>
          <w:color w:val="FF0000"/>
        </w:rPr>
        <w:tab/>
      </w:r>
      <w:r>
        <w:rPr>
          <w:b w:val="0"/>
          <w:bCs w:val="0"/>
          <w:color w:val="FF0000"/>
        </w:rPr>
        <w:tab/>
      </w:r>
      <w:r w:rsidRPr="000B629F">
        <w:rPr>
          <w:b w:val="0"/>
          <w:bCs w:val="0"/>
          <w:color w:val="FF0000"/>
        </w:rPr>
        <w:t>The committee discussed structural constraints that impact student mobility, including financial aid limitations and credit caps, which can restrict students’ ability to explore pathways. Models such as Reverse Transfer and Bachelor of Applied Science programs were highlighted as promising approaches to improving credential attainment and recognizing accumulated credits. The committee reiterated that system complexity continues to disproportionately affect students and must be addressed through coordinated, system-level solutions.</w:t>
      </w:r>
    </w:p>
    <w:p w14:paraId="43770A35" w14:textId="77777777" w:rsidR="000B629F" w:rsidRDefault="000B629F" w:rsidP="000B629F">
      <w:pPr>
        <w:pStyle w:val="Informal2"/>
        <w:tabs>
          <w:tab w:val="right" w:pos="2160"/>
        </w:tabs>
        <w:ind w:left="2880" w:hanging="2880"/>
        <w:rPr>
          <w:b w:val="0"/>
          <w:bCs w:val="0"/>
          <w:color w:val="FF0000"/>
        </w:rPr>
      </w:pPr>
    </w:p>
    <w:p w14:paraId="56E9D6CA" w14:textId="77777777" w:rsidR="000B629F" w:rsidRDefault="000B629F" w:rsidP="000B629F">
      <w:pPr>
        <w:pStyle w:val="Informal2"/>
        <w:tabs>
          <w:tab w:val="right" w:pos="2160"/>
        </w:tabs>
        <w:ind w:left="2880" w:hanging="2880"/>
        <w:rPr>
          <w:b w:val="0"/>
          <w:bCs w:val="0"/>
          <w:color w:val="FF0000"/>
        </w:rPr>
      </w:pPr>
    </w:p>
    <w:p w14:paraId="69AB31C0" w14:textId="6B861EA7" w:rsidR="00D948DA" w:rsidRPr="00D948DA" w:rsidRDefault="000B629F" w:rsidP="000B629F">
      <w:pPr>
        <w:pStyle w:val="Informal2"/>
        <w:tabs>
          <w:tab w:val="right" w:pos="2160"/>
        </w:tabs>
        <w:ind w:left="2880" w:hanging="2880"/>
        <w:rPr>
          <w:b w:val="0"/>
          <w:bCs w:val="0"/>
          <w:color w:val="4F6228" w:themeColor="accent3" w:themeShade="80"/>
        </w:rPr>
      </w:pPr>
      <w:r>
        <w:rPr>
          <w:b w:val="0"/>
          <w:bCs w:val="0"/>
          <w:color w:val="FF0000"/>
        </w:rPr>
        <w:tab/>
      </w:r>
      <w:r>
        <w:rPr>
          <w:b w:val="0"/>
          <w:bCs w:val="0"/>
          <w:color w:val="FF0000"/>
        </w:rPr>
        <w:tab/>
      </w:r>
      <w:r w:rsidRPr="000B629F">
        <w:rPr>
          <w:b w:val="0"/>
          <w:bCs w:val="0"/>
          <w:color w:val="FF0000"/>
        </w:rPr>
        <w:t>To support the development of formal recommendations by June, committee members were assigned homework to identify one to two specific, actionable components in each of three areas: (1) K–12 to postsecondary transition, (2) postsecondary-to-postsecondary transfer, and (3) workforce, industry credentials, and other non-traditional pathways. Submissions should focus on concrete strategies (e.g., common course numbering, credit for prior learning frameworks) and will be collected through a shared document to be distributed following the meeting.</w:t>
      </w: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8E8C342" w14:textId="77777777" w:rsidR="00F21846" w:rsidRDefault="00580476" w:rsidP="00042C59">
      <w:pPr>
        <w:pStyle w:val="Informal2"/>
        <w:tabs>
          <w:tab w:val="right" w:pos="2160"/>
        </w:tabs>
        <w:ind w:left="2880" w:hanging="2880"/>
      </w:pPr>
      <w:bookmarkStart w:id="2" w:name="_Hlk93390637"/>
      <w:r>
        <w:t>1:35 pm</w:t>
      </w:r>
      <w:r w:rsidR="00A92EEA">
        <w:tab/>
      </w:r>
      <w:r w:rsidR="00A92EEA">
        <w:tab/>
      </w:r>
      <w:r w:rsidR="00F21846">
        <w:t xml:space="preserve">Discussion of OSA Transfer Audit </w:t>
      </w:r>
      <w:r w:rsidR="00F21846">
        <w:br/>
      </w:r>
      <w:r w:rsidR="00F21846">
        <w:rPr>
          <w:b w:val="0"/>
          <w:bCs w:val="0"/>
          <w:i/>
          <w:iCs/>
          <w:color w:val="4F6228" w:themeColor="accent3" w:themeShade="80"/>
        </w:rPr>
        <w:t>Carl Einhaus and Brad Griffith, CDHE Staff</w:t>
      </w:r>
      <w:r w:rsidR="00F21846">
        <w:t xml:space="preserve"> </w:t>
      </w:r>
    </w:p>
    <w:p w14:paraId="321AF5DE" w14:textId="77777777" w:rsidR="000B629F" w:rsidRPr="000B629F" w:rsidRDefault="007C3486" w:rsidP="000B629F">
      <w:pPr>
        <w:pStyle w:val="Informal2"/>
        <w:tabs>
          <w:tab w:val="right" w:pos="2160"/>
        </w:tabs>
        <w:ind w:left="2880" w:hanging="2880"/>
        <w:rPr>
          <w:b w:val="0"/>
          <w:bCs w:val="0"/>
          <w:color w:val="FF0000"/>
        </w:rPr>
      </w:pPr>
      <w:r>
        <w:tab/>
      </w:r>
      <w:r>
        <w:tab/>
      </w:r>
      <w:bookmarkEnd w:id="2"/>
      <w:r w:rsidR="000B629F" w:rsidRPr="000B629F">
        <w:rPr>
          <w:b w:val="0"/>
          <w:bCs w:val="0"/>
          <w:color w:val="FF0000"/>
        </w:rPr>
        <w:t>Staff provided updates on efforts to address the State Auditor’s findings, which include 19 total recommendations, noting that final proposed changes are due for Commission approval by September. The committee reviewed draft policy language aimed at improving institutional communication with students regarding transfer credit documentation. During the discussion, there was strong consensus to remove the proposed use of registration holds for missing transcripts, citing concerns about potential harm to students and misalignment with institutional practices. Members also requested clearer, more precise language in the policy (e.g., clarifying “known missing transcripts”) and emphasized the need for system-agnostic implementation to account for institutional variability. CDHE staff will revise the policy language accordingly and distribute a shared document for additional feedback and tracked edits.</w:t>
      </w:r>
    </w:p>
    <w:p w14:paraId="6FF16920" w14:textId="4F5708A2" w:rsidR="006A14D8" w:rsidRPr="008460F3" w:rsidRDefault="00BB6417" w:rsidP="000B629F">
      <w:pPr>
        <w:pStyle w:val="Informal2"/>
        <w:tabs>
          <w:tab w:val="right" w:pos="2160"/>
        </w:tabs>
        <w:ind w:left="2880" w:hanging="2880"/>
        <w:rPr>
          <w:rFonts w:ascii="Trebuchet MS" w:hAnsi="Trebuchet MS"/>
          <w:iCs/>
          <w:sz w:val="22"/>
          <w:szCs w:val="22"/>
        </w:rPr>
      </w:pPr>
      <w:r>
        <w:rPr>
          <w:rFonts w:ascii="Trebuchet MS" w:hAnsi="Trebuchet MS"/>
          <w:noProof/>
        </w:rPr>
        <mc:AlternateContent>
          <mc:Choice Requires="wps">
            <w:drawing>
              <wp:anchor distT="0" distB="0" distL="114300" distR="114300" simplePos="0" relativeHeight="251681792" behindDoc="0" locked="0" layoutInCell="1" allowOverlap="1" wp14:anchorId="2780E08F" wp14:editId="2714E910">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05A07"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0178EEE" w14:textId="77777777" w:rsidR="00F21846" w:rsidRDefault="00580476" w:rsidP="00F21846">
      <w:pPr>
        <w:pStyle w:val="Informal2"/>
        <w:tabs>
          <w:tab w:val="right" w:pos="2160"/>
        </w:tabs>
        <w:ind w:left="2880" w:hanging="2880"/>
      </w:pPr>
      <w:r>
        <w:t>2:00 pm</w:t>
      </w:r>
      <w:r w:rsidR="00FB6F51" w:rsidRPr="002B1B26">
        <w:tab/>
      </w:r>
      <w:r w:rsidR="00FB6F51" w:rsidRPr="002B1B26">
        <w:tab/>
      </w:r>
      <w:r w:rsidR="00F21846">
        <w:t>Review of Colorado Transfer Grant Proposal</w:t>
      </w:r>
    </w:p>
    <w:p w14:paraId="460D03F4" w14:textId="418E6F4E" w:rsidR="00C42001" w:rsidRDefault="00F21846" w:rsidP="00F21846">
      <w:pPr>
        <w:pStyle w:val="Informal2"/>
        <w:tabs>
          <w:tab w:val="right" w:pos="2160"/>
        </w:tabs>
        <w:ind w:left="2880" w:hanging="2880"/>
        <w:rPr>
          <w:b w:val="0"/>
          <w:bCs w:val="0"/>
          <w:i/>
          <w:iCs/>
          <w:color w:val="4F6228" w:themeColor="accent3" w:themeShade="80"/>
        </w:rPr>
      </w:pPr>
      <w:r>
        <w:tab/>
      </w:r>
      <w:r>
        <w:tab/>
      </w:r>
      <w:r>
        <w:rPr>
          <w:b w:val="0"/>
          <w:bCs w:val="0"/>
          <w:i/>
          <w:iCs/>
          <w:color w:val="4F6228" w:themeColor="accent3" w:themeShade="80"/>
        </w:rPr>
        <w:t>Brad Griffith, CDHE Staff</w:t>
      </w:r>
    </w:p>
    <w:p w14:paraId="7BD1C2C2" w14:textId="26C0D5DE" w:rsidR="000B629F" w:rsidRPr="000B629F" w:rsidRDefault="007C3486" w:rsidP="000B629F">
      <w:pPr>
        <w:pStyle w:val="Informal2"/>
        <w:tabs>
          <w:tab w:val="right" w:pos="2160"/>
        </w:tabs>
        <w:ind w:left="2880" w:hanging="2880"/>
        <w:rPr>
          <w:b w:val="0"/>
          <w:bCs w:val="0"/>
          <w:color w:val="FF0000"/>
        </w:rPr>
      </w:pPr>
      <w:r>
        <w:rPr>
          <w:b w:val="0"/>
          <w:bCs w:val="0"/>
          <w:i/>
          <w:iCs/>
          <w:color w:val="4F6228" w:themeColor="accent3" w:themeShade="80"/>
        </w:rPr>
        <w:tab/>
      </w:r>
      <w:r>
        <w:rPr>
          <w:b w:val="0"/>
          <w:bCs w:val="0"/>
          <w:i/>
          <w:iCs/>
          <w:color w:val="4F6228" w:themeColor="accent3" w:themeShade="80"/>
        </w:rPr>
        <w:tab/>
      </w:r>
      <w:r w:rsidR="000B629F" w:rsidRPr="000B629F">
        <w:rPr>
          <w:b w:val="0"/>
          <w:bCs w:val="0"/>
          <w:color w:val="FF0000"/>
        </w:rPr>
        <w:t xml:space="preserve">Brad presented an early-stage proposal for a $5–7 million grant to expand the Colorado Transfer platform. Proposed enhancements include real-time transfer equivalency data integrated with institutional systems, interactive GT Pathways and transfer degree planning tools, a “gap-closing” navigation tool for students, and expanded support for credit for prior learning (CPL), including </w:t>
      </w:r>
      <w:r w:rsidR="000B629F" w:rsidRPr="000B629F">
        <w:rPr>
          <w:b w:val="0"/>
          <w:bCs w:val="0"/>
          <w:color w:val="FF0000"/>
        </w:rPr>
        <w:lastRenderedPageBreak/>
        <w:t>portfolio development guidance. Committee members expressed strong support for increasing transparency and system integration, while also raising concerns regarding technical feasibility, data accuracy, and variation across institutional systems. Participants emphasized the importance of engaging registrars and IT stakeholders in the development process and recommended clearly defining intended student outcomes and measurable impact. Next steps include refining the proposal based on committee feedback and continuing the discussion at the next meeting as a priority agenda item.</w:t>
      </w:r>
    </w:p>
    <w:p w14:paraId="380CB5C4" w14:textId="39298E4A" w:rsidR="00FB6F51" w:rsidRDefault="00FB6F51" w:rsidP="000B629F">
      <w:pPr>
        <w:pStyle w:val="Informal2"/>
        <w:tabs>
          <w:tab w:val="right" w:pos="2160"/>
        </w:tabs>
        <w:ind w:left="2880" w:hanging="2880"/>
      </w:pPr>
      <w:r>
        <w:rPr>
          <w:rFonts w:ascii="Trebuchet MS" w:hAnsi="Trebuchet MS"/>
          <w:noProof/>
        </w:rPr>
        <mc:AlternateContent>
          <mc:Choice Requires="wps">
            <w:drawing>
              <wp:anchor distT="0" distB="0" distL="114300" distR="114300" simplePos="0" relativeHeight="251683840" behindDoc="0" locked="0" layoutInCell="1" allowOverlap="1" wp14:anchorId="1999E559" wp14:editId="40004573">
                <wp:simplePos x="0" y="0"/>
                <wp:positionH relativeFrom="margin">
                  <wp:posOffset>0</wp:posOffset>
                </wp:positionH>
                <wp:positionV relativeFrom="paragraph">
                  <wp:posOffset>57150</wp:posOffset>
                </wp:positionV>
                <wp:extent cx="6105525" cy="0"/>
                <wp:effectExtent l="38100" t="57150" r="66675" b="114300"/>
                <wp:wrapNone/>
                <wp:docPr id="2021350999" name="Straight Connector 2021350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EBA3" id="Straight Connector 202135099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E2221EA" w14:textId="322C8876" w:rsidR="00D1696E" w:rsidRPr="00C241AA" w:rsidRDefault="00580476" w:rsidP="00D1696E">
      <w:pPr>
        <w:pStyle w:val="Informal2"/>
        <w:tabs>
          <w:tab w:val="right" w:pos="2160"/>
        </w:tabs>
      </w:pPr>
      <w:r>
        <w:t>2:20 pm</w:t>
      </w:r>
      <w:r w:rsidR="00D1696E" w:rsidRPr="002B1B26">
        <w:tab/>
      </w:r>
      <w:r w:rsidR="00D1696E" w:rsidRPr="002B1B26">
        <w:tab/>
      </w:r>
      <w:r w:rsidR="00C42001">
        <w:t>Closing Discussion and Next Steps</w:t>
      </w:r>
    </w:p>
    <w:p w14:paraId="277FBCEA" w14:textId="77777777" w:rsidR="00C42001" w:rsidRDefault="00C42001" w:rsidP="00C4200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Subcommittee Chair</w:t>
      </w:r>
    </w:p>
    <w:p w14:paraId="63BCC479" w14:textId="376F40F9" w:rsidR="001B75B6" w:rsidRPr="001B75B6" w:rsidRDefault="001B75B6" w:rsidP="00C42001">
      <w:pPr>
        <w:ind w:left="2160" w:firstLine="720"/>
        <w:rPr>
          <w:rFonts w:ascii="Arial" w:hAnsi="Arial" w:cs="Arial"/>
          <w:color w:val="FF0000"/>
          <w:sz w:val="24"/>
          <w:szCs w:val="24"/>
        </w:rPr>
      </w:pPr>
      <w:r w:rsidRPr="001B75B6">
        <w:rPr>
          <w:rFonts w:ascii="Arial" w:hAnsi="Arial" w:cs="Arial"/>
          <w:color w:val="FF0000"/>
          <w:sz w:val="24"/>
          <w:szCs w:val="24"/>
        </w:rPr>
        <w:t xml:space="preserve">Commissioner Abramson encouraged committee members to: </w:t>
      </w:r>
    </w:p>
    <w:p w14:paraId="7A8E8B75" w14:textId="5952698F" w:rsidR="001B75B6" w:rsidRPr="001B75B6" w:rsidRDefault="001B75B6" w:rsidP="001B75B6">
      <w:pPr>
        <w:pStyle w:val="ListParagraph"/>
        <w:numPr>
          <w:ilvl w:val="0"/>
          <w:numId w:val="17"/>
        </w:numPr>
        <w:rPr>
          <w:rFonts w:ascii="Arial" w:hAnsi="Arial" w:cs="Arial"/>
          <w:color w:val="FF0000"/>
          <w:sz w:val="24"/>
          <w:szCs w:val="24"/>
        </w:rPr>
      </w:pPr>
      <w:r w:rsidRPr="001B75B6">
        <w:rPr>
          <w:rFonts w:ascii="Arial" w:hAnsi="Arial" w:cs="Arial"/>
          <w:color w:val="FF0000"/>
          <w:sz w:val="24"/>
          <w:szCs w:val="24"/>
        </w:rPr>
        <w:t xml:space="preserve">Continue providing feedback on the policy draft and audit recommendations </w:t>
      </w:r>
    </w:p>
    <w:p w14:paraId="4988F20D" w14:textId="1784A05E" w:rsidR="001B75B6" w:rsidRPr="001B75B6" w:rsidRDefault="001B75B6" w:rsidP="001B75B6">
      <w:pPr>
        <w:pStyle w:val="ListParagraph"/>
        <w:numPr>
          <w:ilvl w:val="0"/>
          <w:numId w:val="17"/>
        </w:numPr>
        <w:rPr>
          <w:rFonts w:ascii="Arial" w:hAnsi="Arial" w:cs="Arial"/>
          <w:color w:val="FF0000"/>
          <w:sz w:val="24"/>
          <w:szCs w:val="24"/>
        </w:rPr>
      </w:pPr>
      <w:r w:rsidRPr="001B75B6">
        <w:rPr>
          <w:rFonts w:ascii="Arial" w:hAnsi="Arial" w:cs="Arial"/>
          <w:color w:val="FF0000"/>
          <w:sz w:val="24"/>
          <w:szCs w:val="24"/>
        </w:rPr>
        <w:t xml:space="preserve">Share input on the transfer platform proposal, including strengths, concerns, and enhancements </w:t>
      </w:r>
    </w:p>
    <w:p w14:paraId="25BAC1F4" w14:textId="4FAB48D5" w:rsidR="001B75B6" w:rsidRPr="001B75B6" w:rsidRDefault="001B75B6" w:rsidP="001B75B6">
      <w:pPr>
        <w:pStyle w:val="ListParagraph"/>
        <w:numPr>
          <w:ilvl w:val="0"/>
          <w:numId w:val="17"/>
        </w:numPr>
        <w:rPr>
          <w:rFonts w:ascii="Arial" w:hAnsi="Arial" w:cs="Arial"/>
          <w:color w:val="FF0000"/>
          <w:sz w:val="24"/>
          <w:szCs w:val="24"/>
        </w:rPr>
      </w:pPr>
      <w:r w:rsidRPr="001B75B6">
        <w:rPr>
          <w:rFonts w:ascii="Arial" w:hAnsi="Arial" w:cs="Arial"/>
          <w:color w:val="FF0000"/>
          <w:sz w:val="24"/>
          <w:szCs w:val="24"/>
        </w:rPr>
        <w:t>Engage in ongoing ideation to support recommendations due by June</w:t>
      </w:r>
    </w:p>
    <w:p w14:paraId="67615592" w14:textId="77777777" w:rsidR="00D1696E" w:rsidRDefault="00D1696E" w:rsidP="001B75B6">
      <w:pPr>
        <w:rPr>
          <w:rFonts w:ascii="Arial" w:hAnsi="Arial" w:cs="Arial"/>
          <w:i/>
          <w:iCs/>
          <w:color w:val="4F6228" w:themeColor="accent3" w:themeShade="80"/>
          <w:sz w:val="24"/>
          <w:szCs w:val="24"/>
        </w:rPr>
      </w:pPr>
    </w:p>
    <w:p w14:paraId="31CD2E40" w14:textId="5394F23F" w:rsidR="00272F68" w:rsidRDefault="00430687" w:rsidP="00D1696E">
      <w:pPr>
        <w:pStyle w:val="Informal2"/>
        <w:tabs>
          <w:tab w:val="right" w:pos="2160"/>
        </w:tabs>
        <w:ind w:left="2880" w:hanging="2880"/>
      </w:pPr>
      <w:r w:rsidRPr="002B1B26">
        <w:t>Next meeting date:</w:t>
      </w:r>
      <w:r w:rsidR="00A47DB5">
        <w:t xml:space="preserve"> </w:t>
      </w:r>
      <w:r w:rsidR="00D1696E">
        <w:t xml:space="preserve">Tuesday, </w:t>
      </w:r>
      <w:r w:rsidR="00042C59">
        <w:t>May 19</w:t>
      </w:r>
      <w:r w:rsidR="00D1696E">
        <w:t>, 1-2:30 pm</w:t>
      </w:r>
    </w:p>
    <w:p w14:paraId="0509CA03" w14:textId="77777777" w:rsidR="00D1696E" w:rsidRDefault="00D1696E" w:rsidP="00D1696E">
      <w:pPr>
        <w:pStyle w:val="Informal2"/>
        <w:tabs>
          <w:tab w:val="right" w:pos="2160"/>
        </w:tabs>
        <w:ind w:left="2880" w:hanging="2880"/>
      </w:pPr>
    </w:p>
    <w:p w14:paraId="1993EA9F" w14:textId="77777777" w:rsidR="00D1696E" w:rsidRPr="002B1B26" w:rsidRDefault="00D1696E" w:rsidP="001B75B6">
      <w:pPr>
        <w:pStyle w:val="Informal2"/>
        <w:tabs>
          <w:tab w:val="right" w:pos="2160"/>
        </w:tabs>
      </w:pPr>
    </w:p>
    <w:p w14:paraId="1CFE9ED4" w14:textId="74F5F3B5" w:rsidR="008A2A1F" w:rsidRPr="002B1B26" w:rsidRDefault="008A2A1F">
      <w:pPr>
        <w:rPr>
          <w:rFonts w:ascii="Arial" w:hAnsi="Arial" w:cs="Arial"/>
        </w:rPr>
      </w:pPr>
      <w:r w:rsidRPr="002B1B26">
        <w:rPr>
          <w:rFonts w:ascii="Arial" w:hAnsi="Arial" w:cs="Arial"/>
          <w:b/>
          <w:sz w:val="24"/>
          <w:szCs w:val="24"/>
        </w:rPr>
        <w:t>ACTION ITEMS</w:t>
      </w: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D1696E">
        <w:trPr>
          <w:tblHeader/>
        </w:trPr>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bookmarkStart w:id="3" w:name="AdditionalInformation"/>
            <w:bookmarkEnd w:id="3"/>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p>
    <w:sectPr w:rsidR="002A471F" w:rsidRPr="002B1B26" w:rsidSect="00F97AA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111"/>
    <w:multiLevelType w:val="multilevel"/>
    <w:tmpl w:val="7B50114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 w15:restartNumberingAfterBreak="0">
    <w:nsid w:val="0FFF5FC6"/>
    <w:multiLevelType w:val="multilevel"/>
    <w:tmpl w:val="F52AE238"/>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2"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D307279"/>
    <w:multiLevelType w:val="multilevel"/>
    <w:tmpl w:val="BE18149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4" w15:restartNumberingAfterBreak="0">
    <w:nsid w:val="22E861C9"/>
    <w:multiLevelType w:val="multilevel"/>
    <w:tmpl w:val="2E26CF0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5" w15:restartNumberingAfterBreak="0">
    <w:nsid w:val="2E68116E"/>
    <w:multiLevelType w:val="multilevel"/>
    <w:tmpl w:val="DC2E65F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6" w15:restartNumberingAfterBreak="0">
    <w:nsid w:val="30BC6BDD"/>
    <w:multiLevelType w:val="multilevel"/>
    <w:tmpl w:val="ACDC299C"/>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7"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B346E47"/>
    <w:multiLevelType w:val="hybridMultilevel"/>
    <w:tmpl w:val="DC9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4BF1116D"/>
    <w:multiLevelType w:val="hybridMultilevel"/>
    <w:tmpl w:val="8E04AE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28F0235"/>
    <w:multiLevelType w:val="multilevel"/>
    <w:tmpl w:val="ADB6BBF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2" w15:restartNumberingAfterBreak="0">
    <w:nsid w:val="5BC260FB"/>
    <w:multiLevelType w:val="hybridMultilevel"/>
    <w:tmpl w:val="7182F040"/>
    <w:lvl w:ilvl="0" w:tplc="453EE63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63946543"/>
    <w:multiLevelType w:val="multilevel"/>
    <w:tmpl w:val="112E4E94"/>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4"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A4D30FD"/>
    <w:multiLevelType w:val="multilevel"/>
    <w:tmpl w:val="1A1C25C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num w:numId="1" w16cid:durableId="1368290907">
    <w:abstractNumId w:val="14"/>
  </w:num>
  <w:num w:numId="2" w16cid:durableId="1345016178">
    <w:abstractNumId w:val="15"/>
  </w:num>
  <w:num w:numId="3" w16cid:durableId="855119947">
    <w:abstractNumId w:val="9"/>
  </w:num>
  <w:num w:numId="4" w16cid:durableId="1728718574">
    <w:abstractNumId w:val="7"/>
  </w:num>
  <w:num w:numId="5" w16cid:durableId="545222613">
    <w:abstractNumId w:val="2"/>
  </w:num>
  <w:num w:numId="6" w16cid:durableId="769665574">
    <w:abstractNumId w:val="8"/>
  </w:num>
  <w:num w:numId="7" w16cid:durableId="1759516500">
    <w:abstractNumId w:val="12"/>
  </w:num>
  <w:num w:numId="8" w16cid:durableId="683869072">
    <w:abstractNumId w:val="5"/>
  </w:num>
  <w:num w:numId="9" w16cid:durableId="1418600549">
    <w:abstractNumId w:val="11"/>
  </w:num>
  <w:num w:numId="10" w16cid:durableId="1750693896">
    <w:abstractNumId w:val="16"/>
  </w:num>
  <w:num w:numId="11" w16cid:durableId="80225056">
    <w:abstractNumId w:val="4"/>
  </w:num>
  <w:num w:numId="12" w16cid:durableId="1406029027">
    <w:abstractNumId w:val="6"/>
  </w:num>
  <w:num w:numId="13" w16cid:durableId="876163628">
    <w:abstractNumId w:val="0"/>
  </w:num>
  <w:num w:numId="14" w16cid:durableId="19741689">
    <w:abstractNumId w:val="13"/>
  </w:num>
  <w:num w:numId="15" w16cid:durableId="1062561871">
    <w:abstractNumId w:val="3"/>
  </w:num>
  <w:num w:numId="16" w16cid:durableId="410466949">
    <w:abstractNumId w:val="1"/>
  </w:num>
  <w:num w:numId="17" w16cid:durableId="10288724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447"/>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C59"/>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4B0"/>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3BA0"/>
    <w:rsid w:val="000A496D"/>
    <w:rsid w:val="000A5CC4"/>
    <w:rsid w:val="000B03F4"/>
    <w:rsid w:val="000B2C28"/>
    <w:rsid w:val="000B5666"/>
    <w:rsid w:val="000B57ED"/>
    <w:rsid w:val="000B5843"/>
    <w:rsid w:val="000B629F"/>
    <w:rsid w:val="000B6817"/>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3173"/>
    <w:rsid w:val="000E51D9"/>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5F7C"/>
    <w:rsid w:val="0014668A"/>
    <w:rsid w:val="00146905"/>
    <w:rsid w:val="001517F1"/>
    <w:rsid w:val="00160185"/>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5B6"/>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2988"/>
    <w:rsid w:val="001F4DFA"/>
    <w:rsid w:val="001F5894"/>
    <w:rsid w:val="002022FF"/>
    <w:rsid w:val="00202814"/>
    <w:rsid w:val="00203051"/>
    <w:rsid w:val="00203112"/>
    <w:rsid w:val="002162EE"/>
    <w:rsid w:val="0021787A"/>
    <w:rsid w:val="00223B1D"/>
    <w:rsid w:val="00224512"/>
    <w:rsid w:val="00225124"/>
    <w:rsid w:val="002261D4"/>
    <w:rsid w:val="002274ED"/>
    <w:rsid w:val="00227765"/>
    <w:rsid w:val="00231E5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2DB7"/>
    <w:rsid w:val="002547FE"/>
    <w:rsid w:val="00256801"/>
    <w:rsid w:val="00256B37"/>
    <w:rsid w:val="002579C1"/>
    <w:rsid w:val="00260052"/>
    <w:rsid w:val="00260CEF"/>
    <w:rsid w:val="00261D6B"/>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51E1"/>
    <w:rsid w:val="002869D0"/>
    <w:rsid w:val="00286AFA"/>
    <w:rsid w:val="00287DF4"/>
    <w:rsid w:val="00293378"/>
    <w:rsid w:val="002948A2"/>
    <w:rsid w:val="002949F0"/>
    <w:rsid w:val="002949F6"/>
    <w:rsid w:val="00294CDC"/>
    <w:rsid w:val="00295C5D"/>
    <w:rsid w:val="00296483"/>
    <w:rsid w:val="00297B14"/>
    <w:rsid w:val="002A0D8E"/>
    <w:rsid w:val="002A35F9"/>
    <w:rsid w:val="002A3871"/>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28D1"/>
    <w:rsid w:val="002D3791"/>
    <w:rsid w:val="002D4F7A"/>
    <w:rsid w:val="002D610B"/>
    <w:rsid w:val="002D6EE0"/>
    <w:rsid w:val="002D7795"/>
    <w:rsid w:val="002D7BCD"/>
    <w:rsid w:val="002D7E28"/>
    <w:rsid w:val="002E090C"/>
    <w:rsid w:val="002E2A96"/>
    <w:rsid w:val="002E4B91"/>
    <w:rsid w:val="002E50D7"/>
    <w:rsid w:val="002E54B9"/>
    <w:rsid w:val="002E7455"/>
    <w:rsid w:val="002F02F8"/>
    <w:rsid w:val="002F27ED"/>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3E6"/>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16297"/>
    <w:rsid w:val="00430687"/>
    <w:rsid w:val="00430D8A"/>
    <w:rsid w:val="00431E1E"/>
    <w:rsid w:val="00440439"/>
    <w:rsid w:val="00440995"/>
    <w:rsid w:val="00441BE2"/>
    <w:rsid w:val="00441CF8"/>
    <w:rsid w:val="00443E44"/>
    <w:rsid w:val="00445197"/>
    <w:rsid w:val="0044620D"/>
    <w:rsid w:val="00446D8D"/>
    <w:rsid w:val="0044766B"/>
    <w:rsid w:val="00447AD7"/>
    <w:rsid w:val="004539D7"/>
    <w:rsid w:val="0045404E"/>
    <w:rsid w:val="00455E0E"/>
    <w:rsid w:val="00457C83"/>
    <w:rsid w:val="00460695"/>
    <w:rsid w:val="00461211"/>
    <w:rsid w:val="00461DDA"/>
    <w:rsid w:val="0046244C"/>
    <w:rsid w:val="00462771"/>
    <w:rsid w:val="00464630"/>
    <w:rsid w:val="00464CFA"/>
    <w:rsid w:val="00466179"/>
    <w:rsid w:val="004665EB"/>
    <w:rsid w:val="004666F3"/>
    <w:rsid w:val="004672EC"/>
    <w:rsid w:val="00471EAF"/>
    <w:rsid w:val="00472231"/>
    <w:rsid w:val="00472668"/>
    <w:rsid w:val="00472907"/>
    <w:rsid w:val="00474499"/>
    <w:rsid w:val="004759AA"/>
    <w:rsid w:val="004800CD"/>
    <w:rsid w:val="00483BD1"/>
    <w:rsid w:val="00486161"/>
    <w:rsid w:val="00487E03"/>
    <w:rsid w:val="0049068F"/>
    <w:rsid w:val="00490C99"/>
    <w:rsid w:val="004924E8"/>
    <w:rsid w:val="00494481"/>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0368"/>
    <w:rsid w:val="0055115B"/>
    <w:rsid w:val="00551FAB"/>
    <w:rsid w:val="00552CF7"/>
    <w:rsid w:val="00554CAE"/>
    <w:rsid w:val="00555865"/>
    <w:rsid w:val="00556FAA"/>
    <w:rsid w:val="005603D0"/>
    <w:rsid w:val="005626AF"/>
    <w:rsid w:val="00562EE8"/>
    <w:rsid w:val="00564A90"/>
    <w:rsid w:val="00564C5F"/>
    <w:rsid w:val="00570B51"/>
    <w:rsid w:val="00572A00"/>
    <w:rsid w:val="00576460"/>
    <w:rsid w:val="00577F75"/>
    <w:rsid w:val="00580476"/>
    <w:rsid w:val="005806B6"/>
    <w:rsid w:val="00581CC1"/>
    <w:rsid w:val="0058382F"/>
    <w:rsid w:val="00585DBA"/>
    <w:rsid w:val="0058778D"/>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17B0C"/>
    <w:rsid w:val="00620777"/>
    <w:rsid w:val="0062250D"/>
    <w:rsid w:val="00623F14"/>
    <w:rsid w:val="0062403A"/>
    <w:rsid w:val="00624CAE"/>
    <w:rsid w:val="00625332"/>
    <w:rsid w:val="006308E7"/>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06"/>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4A03"/>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486"/>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156"/>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0E6C"/>
    <w:rsid w:val="008C1247"/>
    <w:rsid w:val="008C392D"/>
    <w:rsid w:val="008C42DB"/>
    <w:rsid w:val="008C4516"/>
    <w:rsid w:val="008C4CED"/>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3543"/>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59A"/>
    <w:rsid w:val="00993705"/>
    <w:rsid w:val="0099699C"/>
    <w:rsid w:val="009A1A6D"/>
    <w:rsid w:val="009A2600"/>
    <w:rsid w:val="009A2DC9"/>
    <w:rsid w:val="009A486A"/>
    <w:rsid w:val="009A4E3B"/>
    <w:rsid w:val="009A5C08"/>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3F8A"/>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C46"/>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3717B"/>
    <w:rsid w:val="00A37A40"/>
    <w:rsid w:val="00A4071F"/>
    <w:rsid w:val="00A412ED"/>
    <w:rsid w:val="00A41C81"/>
    <w:rsid w:val="00A42AB8"/>
    <w:rsid w:val="00A44737"/>
    <w:rsid w:val="00A44B18"/>
    <w:rsid w:val="00A47473"/>
    <w:rsid w:val="00A479CC"/>
    <w:rsid w:val="00A47DB5"/>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83834"/>
    <w:rsid w:val="00A83ABB"/>
    <w:rsid w:val="00A90AAD"/>
    <w:rsid w:val="00A92EEA"/>
    <w:rsid w:val="00A933DC"/>
    <w:rsid w:val="00A94FF5"/>
    <w:rsid w:val="00A951B4"/>
    <w:rsid w:val="00A97726"/>
    <w:rsid w:val="00AA070E"/>
    <w:rsid w:val="00AA101C"/>
    <w:rsid w:val="00AA20BC"/>
    <w:rsid w:val="00AA3DD5"/>
    <w:rsid w:val="00AA5437"/>
    <w:rsid w:val="00AA5AE4"/>
    <w:rsid w:val="00AB1D15"/>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30F2"/>
    <w:rsid w:val="00B05133"/>
    <w:rsid w:val="00B0560B"/>
    <w:rsid w:val="00B05A1A"/>
    <w:rsid w:val="00B05D1B"/>
    <w:rsid w:val="00B06272"/>
    <w:rsid w:val="00B0645C"/>
    <w:rsid w:val="00B06710"/>
    <w:rsid w:val="00B10E83"/>
    <w:rsid w:val="00B11CB9"/>
    <w:rsid w:val="00B12ABC"/>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14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2B00"/>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01"/>
    <w:rsid w:val="00C4208D"/>
    <w:rsid w:val="00C45030"/>
    <w:rsid w:val="00C457D1"/>
    <w:rsid w:val="00C5393D"/>
    <w:rsid w:val="00C53AB5"/>
    <w:rsid w:val="00C53AEE"/>
    <w:rsid w:val="00C54B0B"/>
    <w:rsid w:val="00C55147"/>
    <w:rsid w:val="00C56CB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8572E"/>
    <w:rsid w:val="00C9066F"/>
    <w:rsid w:val="00C914F6"/>
    <w:rsid w:val="00C949EB"/>
    <w:rsid w:val="00C96199"/>
    <w:rsid w:val="00C97E4B"/>
    <w:rsid w:val="00CA0FAA"/>
    <w:rsid w:val="00CA3D64"/>
    <w:rsid w:val="00CA66AB"/>
    <w:rsid w:val="00CA75A3"/>
    <w:rsid w:val="00CA7DDA"/>
    <w:rsid w:val="00CB1F30"/>
    <w:rsid w:val="00CB1FAF"/>
    <w:rsid w:val="00CB28A9"/>
    <w:rsid w:val="00CB296B"/>
    <w:rsid w:val="00CB3D6C"/>
    <w:rsid w:val="00CB487E"/>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1696E"/>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48DA"/>
    <w:rsid w:val="00D967BB"/>
    <w:rsid w:val="00DA1611"/>
    <w:rsid w:val="00DA17A7"/>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53B"/>
    <w:rsid w:val="00E449E8"/>
    <w:rsid w:val="00E46DD3"/>
    <w:rsid w:val="00E50F0B"/>
    <w:rsid w:val="00E51C4F"/>
    <w:rsid w:val="00E569F5"/>
    <w:rsid w:val="00E56B15"/>
    <w:rsid w:val="00E57C12"/>
    <w:rsid w:val="00E600BF"/>
    <w:rsid w:val="00E61BF3"/>
    <w:rsid w:val="00E62753"/>
    <w:rsid w:val="00E64950"/>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6F77"/>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846"/>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0F6B"/>
    <w:rsid w:val="00F8216F"/>
    <w:rsid w:val="00F82A46"/>
    <w:rsid w:val="00F82C83"/>
    <w:rsid w:val="00F83919"/>
    <w:rsid w:val="00F85895"/>
    <w:rsid w:val="00F90ACB"/>
    <w:rsid w:val="00F91521"/>
    <w:rsid w:val="00F95A1D"/>
    <w:rsid w:val="00F97AAC"/>
    <w:rsid w:val="00FA093D"/>
    <w:rsid w:val="00FA2D01"/>
    <w:rsid w:val="00FA2E6B"/>
    <w:rsid w:val="00FA6019"/>
    <w:rsid w:val="00FA68BE"/>
    <w:rsid w:val="00FB2169"/>
    <w:rsid w:val="00FB273F"/>
    <w:rsid w:val="00FB416B"/>
    <w:rsid w:val="00FB5840"/>
    <w:rsid w:val="00FB5D98"/>
    <w:rsid w:val="00FB6CC4"/>
    <w:rsid w:val="00FB6EA7"/>
    <w:rsid w:val="00FB6F51"/>
    <w:rsid w:val="00FC06BD"/>
    <w:rsid w:val="00FC13C6"/>
    <w:rsid w:val="00FC2F41"/>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 w:type="paragraph" w:customStyle="1" w:styleId="xmsonormal">
    <w:name w:val="x_msonormal"/>
    <w:basedOn w:val="Normal"/>
    <w:rsid w:val="003523E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ighered-colorado-gov.zoom.us/rec/share/Be6PlsjvuT_9p5COwwpsiNmoOhsJqbe2_-HlQpT7zOyJIf6OMEgpgh3hcQmPiO4J.8S4TqfN0E4wBH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877</Words>
  <Characters>6061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7</cp:revision>
  <cp:lastPrinted>2021-03-26T16:04:00Z</cp:lastPrinted>
  <dcterms:created xsi:type="dcterms:W3CDTF">2026-04-30T20:54:00Z</dcterms:created>
  <dcterms:modified xsi:type="dcterms:W3CDTF">2026-04-30T21:15:00Z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